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伊犁州特克斯县第一中学整体支出绩效自评报告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部门单位名称（公章）：特克斯县第一中学</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年4 月 28 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7"/>
          <w:rFonts w:ascii="仿宋" w:hAnsi="仿宋" w:eastAsia="仿宋"/>
          <w:b/>
          <w:bCs/>
        </w:rPr>
      </w:pPr>
      <w:bookmarkStart w:id="2" w:name="_Toc70450290"/>
      <w:r>
        <w:rPr>
          <w:rStyle w:val="17"/>
          <w:rFonts w:hint="eastAsia" w:ascii="仿宋" w:hAnsi="仿宋" w:eastAsia="仿宋"/>
          <w:b/>
          <w:bCs/>
        </w:rPr>
        <w:t>（一）部门单位基本情况</w:t>
      </w:r>
      <w:bookmarkEnd w:id="2"/>
    </w:p>
    <w:p>
      <w:pPr>
        <w:pStyle w:val="5"/>
        <w:spacing w:line="360" w:lineRule="auto"/>
        <w:ind w:firstLine="562" w:firstLineChars="200"/>
        <w:rPr>
          <w:rStyle w:val="17"/>
          <w:rFonts w:ascii="仿宋" w:hAnsi="仿宋" w:eastAsia="仿宋"/>
          <w:b/>
          <w:bCs/>
        </w:rPr>
      </w:pPr>
      <w:bookmarkStart w:id="3" w:name="_Toc70450291"/>
      <w:r>
        <w:rPr>
          <w:rStyle w:val="17"/>
          <w:rFonts w:ascii="仿宋" w:hAnsi="仿宋" w:eastAsia="仿宋"/>
          <w:b/>
          <w:bCs/>
        </w:rPr>
        <w:t>1</w:t>
      </w:r>
      <w:r>
        <w:rPr>
          <w:rStyle w:val="17"/>
          <w:rFonts w:hint="eastAsia" w:ascii="仿宋" w:hAnsi="仿宋" w:eastAsia="仿宋"/>
          <w:b/>
          <w:bCs/>
        </w:rPr>
        <w:t>、主要职能</w:t>
      </w:r>
      <w:bookmarkEnd w:id="3"/>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1.宣传贯彻党的路线、方针、政策，坚持正确的办学方向。</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2.负责党的理论教育研讨工作，指导干部学习党的理论，培养合格的党员干部。</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3.编制学校教学计划，管理，协调教育活动，开展教学情况。</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4.完成全校交办的其他工作。</w:t>
      </w:r>
    </w:p>
    <w:p>
      <w:pPr>
        <w:pStyle w:val="5"/>
        <w:spacing w:line="360" w:lineRule="auto"/>
        <w:ind w:firstLine="562" w:firstLineChars="200"/>
        <w:rPr>
          <w:rStyle w:val="17"/>
          <w:rFonts w:ascii="仿宋" w:hAnsi="仿宋" w:eastAsia="仿宋"/>
          <w:b/>
          <w:bCs/>
        </w:rPr>
      </w:pPr>
      <w:bookmarkStart w:id="4" w:name="_Toc70450292"/>
      <w:r>
        <w:rPr>
          <w:rStyle w:val="17"/>
          <w:rFonts w:hint="eastAsia" w:ascii="仿宋" w:hAnsi="仿宋" w:eastAsia="仿宋"/>
          <w:b/>
          <w:bCs/>
        </w:rPr>
        <w:t>2、机构人员构成</w:t>
      </w:r>
      <w:bookmarkEnd w:id="4"/>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（1）组织机构设置：</w:t>
      </w:r>
    </w:p>
    <w:p>
      <w:pPr>
        <w:spacing w:line="360" w:lineRule="auto"/>
        <w:ind w:firstLine="544" w:firstLineChars="200"/>
        <w:rPr>
          <w:rStyle w:val="17"/>
          <w:rFonts w:ascii="仿宋_GB2312" w:hAnsi="楷体" w:eastAsia="仿宋_GB2312"/>
          <w:b w:val="0"/>
          <w:spacing w:val="-4"/>
          <w:sz w:val="28"/>
          <w:szCs w:val="28"/>
        </w:rPr>
      </w:pPr>
      <w:bookmarkStart w:id="5" w:name="_Toc70450293"/>
      <w:r>
        <w:rPr>
          <w:rStyle w:val="17"/>
          <w:rFonts w:hint="eastAsia" w:ascii="仿宋_GB2312" w:hAnsi="楷体" w:eastAsia="仿宋_GB2312"/>
          <w:b w:val="0"/>
          <w:spacing w:val="-4"/>
          <w:sz w:val="28"/>
          <w:szCs w:val="28"/>
        </w:rPr>
        <w:t>特克斯县第一中学无下属预算单位，</w:t>
      </w:r>
      <w:r>
        <w:rPr>
          <w:rFonts w:hint="eastAsia" w:ascii="仿宋_GB2312" w:hAnsi="宋体" w:eastAsia="仿宋_GB2312" w:cs="宋体"/>
          <w:kern w:val="0"/>
          <w:sz w:val="32"/>
          <w:szCs w:val="32"/>
        </w:rPr>
        <w:t>下设7个处室，分别是：办公室、教务处、德育处、教研室、总务处、工会、党建办。</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（2）2021年特克斯县第一中学实有在职人员为146人，其中：</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行政在职0人（上年0人），与上年一致。</w:t>
      </w:r>
    </w:p>
    <w:p>
      <w:pPr>
        <w:spacing w:line="360" w:lineRule="auto"/>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事业在职人员</w:t>
      </w:r>
      <w:r>
        <w:rPr>
          <w:rStyle w:val="17"/>
          <w:rFonts w:ascii="仿宋_GB2312" w:hAnsi="楷体" w:eastAsia="仿宋_GB2312"/>
          <w:b w:val="0"/>
          <w:spacing w:val="-4"/>
          <w:sz w:val="28"/>
          <w:szCs w:val="28"/>
        </w:rPr>
        <w:t>146</w:t>
      </w:r>
      <w:r>
        <w:rPr>
          <w:rStyle w:val="17"/>
          <w:rFonts w:hint="eastAsia" w:ascii="仿宋_GB2312" w:hAnsi="楷体" w:eastAsia="仿宋_GB2312"/>
          <w:b w:val="0"/>
          <w:spacing w:val="-4"/>
          <w:sz w:val="28"/>
          <w:szCs w:val="28"/>
        </w:rPr>
        <w:t>人（上年</w:t>
      </w:r>
      <w:r>
        <w:rPr>
          <w:rStyle w:val="17"/>
          <w:rFonts w:ascii="仿宋_GB2312" w:hAnsi="楷体" w:eastAsia="仿宋_GB2312"/>
          <w:b w:val="0"/>
          <w:spacing w:val="-4"/>
          <w:sz w:val="28"/>
          <w:szCs w:val="28"/>
        </w:rPr>
        <w:t>119</w:t>
      </w:r>
      <w:r>
        <w:rPr>
          <w:rStyle w:val="17"/>
          <w:rFonts w:hint="eastAsia" w:ascii="仿宋_GB2312" w:hAnsi="楷体" w:eastAsia="仿宋_GB2312"/>
          <w:b w:val="0"/>
          <w:spacing w:val="-4"/>
          <w:sz w:val="28"/>
          <w:szCs w:val="28"/>
        </w:rPr>
        <w:t>人），比上年增加</w:t>
      </w:r>
      <w:r>
        <w:rPr>
          <w:rStyle w:val="17"/>
          <w:rFonts w:ascii="仿宋_GB2312" w:hAnsi="楷体" w:eastAsia="仿宋_GB2312"/>
          <w:b w:val="0"/>
          <w:spacing w:val="-4"/>
          <w:sz w:val="28"/>
          <w:szCs w:val="28"/>
        </w:rPr>
        <w:t>27</w:t>
      </w:r>
      <w:r>
        <w:rPr>
          <w:rStyle w:val="17"/>
          <w:rFonts w:hint="eastAsia" w:ascii="仿宋_GB2312" w:hAnsi="楷体" w:eastAsia="仿宋_GB2312"/>
          <w:b w:val="0"/>
          <w:spacing w:val="-4"/>
          <w:sz w:val="28"/>
          <w:szCs w:val="28"/>
        </w:rPr>
        <w:t>人。</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实有离休人员0人（上年0人）,与上年一致。</w:t>
      </w:r>
    </w:p>
    <w:p>
      <w:pPr>
        <w:spacing w:line="360" w:lineRule="auto"/>
        <w:ind w:firstLine="544" w:firstLineChars="200"/>
        <w:rPr>
          <w:rStyle w:val="17"/>
          <w:rFonts w:ascii="仿宋_GB2312" w:hAnsi="楷体" w:eastAsia="宋体"/>
          <w:b w:val="0"/>
          <w:spacing w:val="-4"/>
          <w:sz w:val="28"/>
          <w:szCs w:val="28"/>
        </w:rPr>
      </w:pPr>
      <w:r>
        <w:rPr>
          <w:rStyle w:val="17"/>
          <w:rFonts w:hint="eastAsia" w:ascii="仿宋_GB2312" w:hAnsi="楷体" w:eastAsia="仿宋_GB2312"/>
          <w:b w:val="0"/>
          <w:spacing w:val="-4"/>
          <w:sz w:val="28"/>
          <w:szCs w:val="28"/>
        </w:rPr>
        <w:t>实有退休人员75人（上年70人）,比上一年增加5人。</w:t>
      </w:r>
    </w:p>
    <w:p>
      <w:pPr>
        <w:pStyle w:val="5"/>
        <w:spacing w:line="360" w:lineRule="auto"/>
        <w:ind w:firstLine="562" w:firstLineChars="200"/>
        <w:rPr>
          <w:rStyle w:val="17"/>
          <w:rFonts w:ascii="仿宋" w:hAnsi="仿宋" w:eastAsia="仿宋"/>
          <w:b/>
          <w:bCs/>
        </w:rPr>
      </w:pPr>
      <w:r>
        <w:rPr>
          <w:rStyle w:val="17"/>
          <w:rFonts w:ascii="仿宋" w:hAnsi="仿宋" w:eastAsia="仿宋"/>
          <w:b/>
          <w:bCs/>
        </w:rPr>
        <w:t>3</w:t>
      </w:r>
      <w:r>
        <w:rPr>
          <w:rStyle w:val="17"/>
          <w:rFonts w:hint="eastAsia" w:ascii="仿宋" w:hAnsi="仿宋" w:eastAsia="仿宋"/>
          <w:b/>
          <w:bCs/>
        </w:rPr>
        <w:t>、重点工作计划</w:t>
      </w:r>
      <w:bookmarkEnd w:id="5"/>
    </w:p>
    <w:p>
      <w:pPr>
        <w:spacing w:line="360" w:lineRule="auto"/>
        <w:ind w:firstLine="544" w:firstLineChars="200"/>
        <w:rPr>
          <w:rStyle w:val="17"/>
          <w:rFonts w:ascii="仿宋_GB2312" w:hAnsi="楷体" w:eastAsia="仿宋_GB2312"/>
          <w:b w:val="0"/>
          <w:bCs w:val="0"/>
          <w:spacing w:val="-4"/>
          <w:sz w:val="28"/>
          <w:szCs w:val="28"/>
        </w:rPr>
      </w:pPr>
      <w:bookmarkStart w:id="6" w:name="_Toc70450294"/>
      <w:r>
        <w:rPr>
          <w:rStyle w:val="17"/>
          <w:rFonts w:hint="eastAsia" w:ascii="仿宋_GB2312" w:hAnsi="楷体" w:eastAsia="仿宋_GB2312"/>
          <w:b w:val="0"/>
          <w:bCs w:val="0"/>
          <w:spacing w:val="-4"/>
          <w:sz w:val="28"/>
          <w:szCs w:val="28"/>
        </w:rPr>
        <w:t>（1）确保人员经费的合理分配。</w:t>
      </w:r>
    </w:p>
    <w:p>
      <w:pPr>
        <w:spacing w:line="360" w:lineRule="auto"/>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rPr>
        <w:t>（2）完成在职教师工资发放、按时完成社保、公积金缴纳。</w:t>
      </w:r>
    </w:p>
    <w:p>
      <w:pPr>
        <w:spacing w:line="360" w:lineRule="auto"/>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rPr>
        <w:t>（3）及时完成退休教师取暖费、计生奖励金按时发放。</w:t>
      </w:r>
    </w:p>
    <w:p>
      <w:pPr>
        <w:spacing w:line="360" w:lineRule="auto"/>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rPr>
        <w:t>（4）完成每年教学任务。全面推进各类教师能力提升培训，加强教师队伍建设。完成好教育教学管理工作。</w:t>
      </w:r>
    </w:p>
    <w:p>
      <w:pPr>
        <w:pStyle w:val="4"/>
        <w:spacing w:line="360" w:lineRule="auto"/>
        <w:ind w:firstLine="138" w:firstLineChars="49"/>
        <w:rPr>
          <w:rStyle w:val="17"/>
          <w:rFonts w:ascii="仿宋" w:hAnsi="仿宋" w:eastAsia="仿宋"/>
          <w:b/>
          <w:bCs/>
          <w:sz w:val="28"/>
          <w:szCs w:val="28"/>
        </w:rPr>
      </w:pPr>
      <w:r>
        <w:rPr>
          <w:rStyle w:val="17"/>
          <w:rFonts w:hint="eastAsia" w:ascii="仿宋" w:hAnsi="仿宋" w:eastAsia="仿宋"/>
          <w:b/>
          <w:bCs/>
          <w:sz w:val="28"/>
          <w:szCs w:val="28"/>
        </w:rPr>
        <w:t>（二）部门单位整体支出规模、</w:t>
      </w:r>
      <w:bookmarkStart w:id="7" w:name="_Hlk70339807"/>
      <w:r>
        <w:rPr>
          <w:rStyle w:val="17"/>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7"/>
          <w:rFonts w:ascii="仿宋" w:hAnsi="仿宋" w:eastAsia="仿宋"/>
          <w:b/>
          <w:bCs/>
        </w:rPr>
      </w:pPr>
      <w:bookmarkStart w:id="8" w:name="_Toc70450295"/>
      <w:r>
        <w:rPr>
          <w:rStyle w:val="17"/>
          <w:rFonts w:hint="eastAsia" w:ascii="仿宋" w:hAnsi="仿宋" w:eastAsia="仿宋"/>
          <w:b/>
          <w:bCs/>
        </w:rPr>
        <w:t>1、部门单位整体支出规模</w:t>
      </w:r>
      <w:bookmarkEnd w:id="8"/>
    </w:p>
    <w:p>
      <w:pPr>
        <w:spacing w:line="360" w:lineRule="auto"/>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2021年批复</w:t>
      </w:r>
      <w:r>
        <w:rPr>
          <w:rStyle w:val="17"/>
          <w:rFonts w:hint="eastAsia" w:ascii="仿宋_GB2312" w:hAnsi="楷体" w:eastAsia="仿宋_GB2312"/>
          <w:b w:val="0"/>
          <w:spacing w:val="-4"/>
          <w:sz w:val="28"/>
          <w:szCs w:val="28"/>
          <w:lang w:val="en-US" w:eastAsia="zh-CN"/>
        </w:rPr>
        <w:t>我单位</w:t>
      </w:r>
      <w:r>
        <w:rPr>
          <w:rStyle w:val="17"/>
          <w:rFonts w:hint="eastAsia" w:ascii="仿宋_GB2312" w:hAnsi="楷体" w:eastAsia="仿宋_GB2312"/>
          <w:b w:val="0"/>
          <w:spacing w:val="-4"/>
          <w:sz w:val="28"/>
          <w:szCs w:val="28"/>
        </w:rPr>
        <w:t>预算为2639.66</w:t>
      </w:r>
      <w:r>
        <w:rPr>
          <w:rStyle w:val="17"/>
          <w:rFonts w:hint="eastAsia" w:ascii="仿宋_GB2312" w:hAnsi="楷体" w:eastAsia="仿宋_GB2312"/>
          <w:b w:val="0"/>
          <w:spacing w:val="-4"/>
          <w:sz w:val="28"/>
          <w:szCs w:val="28"/>
        </w:rPr>
        <w:t>万元，其中：财政拨款为2639.66</w:t>
      </w:r>
      <w:r>
        <w:rPr>
          <w:rStyle w:val="17"/>
          <w:rFonts w:hint="eastAsia" w:ascii="仿宋_GB2312" w:hAnsi="楷体" w:eastAsia="仿宋_GB2312"/>
          <w:b w:val="0"/>
          <w:spacing w:val="-4"/>
          <w:sz w:val="28"/>
          <w:szCs w:val="28"/>
        </w:rPr>
        <w:t>万元，年中追加1131.81万元，调整率75.06%。对比上年1368</w:t>
      </w:r>
      <w:r>
        <w:rPr>
          <w:rStyle w:val="17"/>
          <w:rFonts w:hint="eastAsia" w:ascii="仿宋_GB2312" w:hAnsi="楷体" w:eastAsia="仿宋_GB2312"/>
          <w:b w:val="0"/>
          <w:spacing w:val="-4"/>
          <w:sz w:val="28"/>
          <w:szCs w:val="28"/>
        </w:rPr>
        <w:t>.42</w:t>
      </w:r>
      <w:r>
        <w:rPr>
          <w:rStyle w:val="17"/>
          <w:rFonts w:hint="eastAsia" w:ascii="仿宋_GB2312" w:hAnsi="楷体" w:eastAsia="仿宋_GB2312"/>
          <w:b w:val="0"/>
          <w:spacing w:val="-4"/>
          <w:sz w:val="28"/>
          <w:szCs w:val="28"/>
        </w:rPr>
        <w:t>万元增加1</w:t>
      </w:r>
      <w:r>
        <w:rPr>
          <w:rStyle w:val="17"/>
          <w:rFonts w:hint="eastAsia" w:ascii="仿宋_GB2312" w:hAnsi="楷体" w:eastAsia="仿宋_GB2312"/>
          <w:b w:val="0"/>
          <w:spacing w:val="-4"/>
          <w:sz w:val="28"/>
          <w:szCs w:val="28"/>
          <w:lang w:val="en-US" w:eastAsia="zh-CN"/>
        </w:rPr>
        <w:t>271.24</w:t>
      </w:r>
      <w:r>
        <w:rPr>
          <w:rStyle w:val="17"/>
          <w:rFonts w:hint="eastAsia" w:ascii="仿宋_GB2312" w:hAnsi="楷体" w:eastAsia="仿宋_GB2312"/>
          <w:b w:val="0"/>
          <w:spacing w:val="-4"/>
          <w:sz w:val="28"/>
          <w:szCs w:val="28"/>
        </w:rPr>
        <w:t>万元，上升</w:t>
      </w:r>
      <w:r>
        <w:rPr>
          <w:rStyle w:val="17"/>
          <w:rFonts w:hint="eastAsia" w:ascii="仿宋_GB2312" w:hAnsi="楷体" w:eastAsia="仿宋_GB2312"/>
          <w:b w:val="0"/>
          <w:spacing w:val="-4"/>
          <w:sz w:val="28"/>
          <w:szCs w:val="28"/>
          <w:lang w:val="en-US" w:eastAsia="zh-CN"/>
        </w:rPr>
        <w:t>92.90</w:t>
      </w:r>
      <w:r>
        <w:rPr>
          <w:rStyle w:val="17"/>
          <w:rFonts w:hint="eastAsia" w:ascii="仿宋_GB2312" w:hAnsi="楷体" w:eastAsia="仿宋_GB2312"/>
          <w:b w:val="0"/>
          <w:spacing w:val="-4"/>
          <w:sz w:val="28"/>
          <w:szCs w:val="28"/>
        </w:rPr>
        <w:t>%。</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2021年实际决算支出2639.66</w:t>
      </w:r>
      <w:r>
        <w:rPr>
          <w:rStyle w:val="17"/>
          <w:rFonts w:hint="eastAsia" w:ascii="仿宋_GB2312" w:hAnsi="楷体" w:eastAsia="仿宋_GB2312"/>
          <w:b w:val="0"/>
          <w:spacing w:val="-4"/>
          <w:sz w:val="28"/>
          <w:szCs w:val="28"/>
        </w:rPr>
        <w:t>万元，执行率100%，其中：</w:t>
      </w:r>
    </w:p>
    <w:p>
      <w:pPr>
        <w:pStyle w:val="30"/>
        <w:spacing w:line="520" w:lineRule="atLeast"/>
        <w:ind w:firstLine="544"/>
        <w:rPr>
          <w:rStyle w:val="17"/>
          <w:rFonts w:hAnsi="楷体"/>
          <w:spacing w:val="-4"/>
          <w:sz w:val="28"/>
          <w:szCs w:val="28"/>
        </w:rPr>
      </w:pPr>
      <w:r>
        <w:rPr>
          <w:rStyle w:val="17"/>
          <w:rFonts w:hint="eastAsia" w:hAnsi="楷体"/>
          <w:b w:val="0"/>
          <w:spacing w:val="-4"/>
          <w:sz w:val="28"/>
          <w:szCs w:val="28"/>
        </w:rPr>
        <w:t>（1）基本支出2639.66万元，占总支出的</w:t>
      </w:r>
      <w:r>
        <w:rPr>
          <w:rStyle w:val="17"/>
          <w:rFonts w:hint="eastAsia" w:ascii="仿宋_GB2312" w:hAnsi="楷体" w:eastAsia="仿宋_GB2312" w:cstheme="minorBidi"/>
          <w:b w:val="0"/>
          <w:color w:val="auto"/>
          <w:spacing w:val="-4"/>
          <w:kern w:val="2"/>
          <w:sz w:val="28"/>
          <w:szCs w:val="28"/>
          <w:lang w:val="en-US" w:eastAsia="zh-CN" w:bidi="ar-SA"/>
        </w:rPr>
        <w:t>100％，主要用于特克斯县第一中学机构正常运转、完成日常工作任务而发生的各项支出。其中：工资福利支出2184.60万元，主要用于在职和离退休人员基</w:t>
      </w:r>
      <w:r>
        <w:rPr>
          <w:rStyle w:val="17"/>
          <w:rFonts w:hint="eastAsia" w:hAnsi="楷体"/>
          <w:b w:val="0"/>
          <w:spacing w:val="-4"/>
          <w:sz w:val="28"/>
          <w:szCs w:val="28"/>
        </w:rPr>
        <w:t>本工资、津贴补贴等人员经费。商品和服务支出346.06万元，主要用于办公费、印刷费、水电费、办公设备购置等。对个人和家庭的补助109.00万元，主要用于：人员支出和公用支出。公用经费主要包括：办公费、印刷费、手续费、水费、电费、邮电费、取暖费、物业管理费、差旅费、维修（护）费、租赁费、会议费、培训费、专用材料费、专用燃料费、劳务费、工会经费、福利费、其他交通费用、税金及附加费用、其他商品和服务支出、办公设备购置、专用设备购置等。</w:t>
      </w:r>
    </w:p>
    <w:p>
      <w:pPr>
        <w:spacing w:line="360" w:lineRule="auto"/>
        <w:ind w:firstLine="544" w:firstLineChars="200"/>
        <w:rPr>
          <w:rStyle w:val="17"/>
          <w:rFonts w:ascii="仿宋_GB2312" w:hAnsi="楷体" w:eastAsia="仿宋_GB2312"/>
          <w:b w:val="0"/>
          <w:spacing w:val="-4"/>
          <w:sz w:val="28"/>
          <w:szCs w:val="28"/>
        </w:rPr>
      </w:pPr>
      <w:bookmarkStart w:id="9" w:name="_Toc70450296"/>
      <w:r>
        <w:rPr>
          <w:rStyle w:val="17"/>
          <w:rFonts w:hint="eastAsia" w:ascii="仿宋_GB2312" w:hAnsi="楷体" w:eastAsia="仿宋_GB2312"/>
          <w:b w:val="0"/>
          <w:spacing w:val="-4"/>
          <w:sz w:val="28"/>
          <w:szCs w:val="28"/>
        </w:rPr>
        <w:t>（2）项目支出0万元，占总支出的0％。</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w:t>
      </w:r>
      <w:r>
        <w:rPr>
          <w:rStyle w:val="17"/>
          <w:rFonts w:ascii="仿宋_GB2312" w:hAnsi="楷体" w:eastAsia="仿宋_GB2312"/>
          <w:b w:val="0"/>
          <w:spacing w:val="-4"/>
          <w:sz w:val="28"/>
          <w:szCs w:val="28"/>
        </w:rPr>
        <w:t>3</w:t>
      </w:r>
      <w:r>
        <w:rPr>
          <w:rStyle w:val="17"/>
          <w:rFonts w:hint="eastAsia" w:ascii="仿宋_GB2312" w:hAnsi="楷体" w:eastAsia="仿宋_GB2312"/>
          <w:b w:val="0"/>
          <w:spacing w:val="-4"/>
          <w:sz w:val="28"/>
          <w:szCs w:val="28"/>
        </w:rPr>
        <w:t>）本年度重点项目支出0万元，重点支出保障率0%。</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（4）本年度我单位无政府采购预算。</w:t>
      </w:r>
    </w:p>
    <w:p>
      <w:pPr>
        <w:pStyle w:val="5"/>
        <w:spacing w:line="360" w:lineRule="auto"/>
        <w:ind w:firstLine="562" w:firstLineChars="200"/>
        <w:rPr>
          <w:rStyle w:val="17"/>
          <w:rFonts w:ascii="仿宋" w:hAnsi="仿宋" w:eastAsia="仿宋"/>
          <w:b/>
          <w:bCs/>
        </w:rPr>
      </w:pPr>
      <w:r>
        <w:rPr>
          <w:rStyle w:val="17"/>
          <w:rFonts w:ascii="仿宋" w:hAnsi="仿宋" w:eastAsia="仿宋"/>
          <w:b/>
          <w:bCs/>
        </w:rPr>
        <w:t>2</w:t>
      </w:r>
      <w:r>
        <w:rPr>
          <w:rStyle w:val="17"/>
          <w:rFonts w:hint="eastAsia" w:ascii="仿宋" w:hAnsi="仿宋" w:eastAsia="仿宋"/>
          <w:b/>
          <w:bCs/>
        </w:rPr>
        <w:t>、整体支出评价使用方法和主要内容、涉及对象及范围等</w:t>
      </w:r>
      <w:bookmarkEnd w:id="9"/>
    </w:p>
    <w:p>
      <w:pPr>
        <w:spacing w:line="360" w:lineRule="auto"/>
        <w:ind w:firstLine="560" w:firstLineChars="200"/>
        <w:rPr>
          <w:rStyle w:val="17"/>
          <w:rFonts w:ascii="仿宋_GB2312" w:eastAsia="仿宋_GB2312"/>
          <w:b w:val="0"/>
          <w:bCs w:val="0"/>
          <w:sz w:val="28"/>
          <w:szCs w:val="36"/>
        </w:rPr>
      </w:pPr>
      <w:r>
        <w:rPr>
          <w:rFonts w:hint="eastAsia" w:ascii="仿宋_GB2312" w:eastAsia="仿宋_GB2312"/>
          <w:sz w:val="28"/>
          <w:szCs w:val="36"/>
        </w:rPr>
        <w:t>（1）</w:t>
      </w:r>
      <w:r>
        <w:rPr>
          <w:rStyle w:val="17"/>
          <w:rFonts w:hint="eastAsia" w:ascii="仿宋_GB2312" w:eastAsia="仿宋_GB2312"/>
          <w:b w:val="0"/>
          <w:bCs w:val="0"/>
          <w:sz w:val="28"/>
          <w:szCs w:val="36"/>
        </w:rPr>
        <w:t>整体支出评价使用方法</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本次项目支出绩效自评采用因素分析法方法，原因是：</w:t>
      </w:r>
      <w:r>
        <w:rPr>
          <w:rStyle w:val="17"/>
          <w:rFonts w:hint="eastAsia" w:ascii="仿宋_GB2312" w:eastAsia="仿宋_GB2312"/>
          <w:b w:val="0"/>
          <w:bCs w:val="0"/>
          <w:sz w:val="28"/>
          <w:szCs w:val="36"/>
          <w:lang w:val="en-US" w:eastAsia="zh-CN"/>
        </w:rPr>
        <w:t>特克斯县第一中学</w:t>
      </w:r>
      <w:r>
        <w:rPr>
          <w:rStyle w:val="17"/>
          <w:rFonts w:hint="eastAsia" w:ascii="仿宋_GB2312" w:eastAsia="仿宋_GB2312"/>
          <w:b w:val="0"/>
          <w:bCs w:val="0"/>
          <w:sz w:val="28"/>
          <w:szCs w:val="36"/>
        </w:rPr>
        <w:t>从数量上确定各因素对分析指标影响方向和影响程度一种方法，运用因素分析法应注意因素关联性、顺序性。</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7"/>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（3）整体支出评价涉及对象及范围</w:t>
      </w:r>
    </w:p>
    <w:p>
      <w:pPr>
        <w:spacing w:line="360" w:lineRule="auto"/>
        <w:ind w:firstLine="560" w:firstLineChars="200"/>
        <w:rPr>
          <w:rStyle w:val="17"/>
          <w:rFonts w:ascii="仿宋_GB2312" w:eastAsia="仿宋_GB2312"/>
          <w:b w:val="0"/>
          <w:bCs w:val="0"/>
          <w:sz w:val="28"/>
          <w:szCs w:val="36"/>
        </w:rPr>
      </w:pPr>
      <w:bookmarkStart w:id="10" w:name="_Toc70450297"/>
      <w:r>
        <w:rPr>
          <w:rStyle w:val="17"/>
          <w:rFonts w:hint="eastAsia" w:ascii="仿宋_GB2312" w:eastAsia="仿宋_GB2312"/>
          <w:b w:val="0"/>
          <w:bCs w:val="0"/>
          <w:sz w:val="28"/>
          <w:szCs w:val="36"/>
        </w:rPr>
        <w:t>涉及对象：</w:t>
      </w:r>
      <w:r>
        <w:rPr>
          <w:rFonts w:hint="eastAsia" w:ascii="仿宋_GB2312" w:eastAsia="仿宋_GB2312"/>
          <w:sz w:val="28"/>
          <w:szCs w:val="36"/>
        </w:rPr>
        <w:t>本次评价对象是特克斯县第一中学所有财政资金支出活动。</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整体支出评价范围：</w:t>
      </w:r>
    </w:p>
    <w:p>
      <w:pPr>
        <w:spacing w:line="360" w:lineRule="auto"/>
        <w:ind w:firstLine="544" w:firstLineChars="200"/>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fldChar w:fldCharType="begin"/>
      </w:r>
      <w:r>
        <w:rPr>
          <w:rStyle w:val="17"/>
          <w:rFonts w:ascii="仿宋_GB2312" w:hAnsi="楷体" w:eastAsia="仿宋_GB2312"/>
          <w:b w:val="0"/>
          <w:spacing w:val="-4"/>
          <w:sz w:val="28"/>
          <w:szCs w:val="28"/>
        </w:rPr>
        <w:instrText xml:space="preserve"> </w:instrText>
      </w:r>
      <w:r>
        <w:rPr>
          <w:rStyle w:val="17"/>
          <w:rFonts w:hint="eastAsia" w:ascii="仿宋_GB2312" w:hAnsi="楷体" w:eastAsia="仿宋_GB2312"/>
          <w:b w:val="0"/>
          <w:spacing w:val="-4"/>
          <w:sz w:val="28"/>
          <w:szCs w:val="28"/>
        </w:rPr>
        <w:instrText xml:space="preserve">= 1 \* GB3</w:instrText>
      </w:r>
      <w:r>
        <w:rPr>
          <w:rStyle w:val="17"/>
          <w:rFonts w:ascii="仿宋_GB2312" w:hAnsi="楷体" w:eastAsia="仿宋_GB2312"/>
          <w:b w:val="0"/>
          <w:spacing w:val="-4"/>
          <w:sz w:val="28"/>
          <w:szCs w:val="28"/>
        </w:rPr>
        <w:instrText xml:space="preserve"> </w:instrText>
      </w:r>
      <w:r>
        <w:rPr>
          <w:rStyle w:val="17"/>
          <w:rFonts w:ascii="仿宋_GB2312" w:hAnsi="楷体" w:eastAsia="仿宋_GB2312"/>
          <w:b w:val="0"/>
          <w:spacing w:val="-4"/>
          <w:sz w:val="28"/>
          <w:szCs w:val="28"/>
        </w:rPr>
        <w:fldChar w:fldCharType="separate"/>
      </w:r>
      <w:r>
        <w:rPr>
          <w:rStyle w:val="17"/>
          <w:rFonts w:hint="eastAsia" w:ascii="仿宋_GB2312" w:hAnsi="楷体" w:eastAsia="仿宋_GB2312"/>
          <w:b w:val="0"/>
          <w:spacing w:val="-4"/>
          <w:sz w:val="28"/>
          <w:szCs w:val="28"/>
        </w:rPr>
        <w:t>①</w:t>
      </w:r>
      <w:r>
        <w:rPr>
          <w:rStyle w:val="17"/>
          <w:rFonts w:ascii="仿宋_GB2312" w:hAnsi="楷体" w:eastAsia="仿宋_GB2312"/>
          <w:b w:val="0"/>
          <w:spacing w:val="-4"/>
          <w:sz w:val="28"/>
          <w:szCs w:val="28"/>
        </w:rPr>
        <w:fldChar w:fldCharType="end"/>
      </w:r>
      <w:r>
        <w:rPr>
          <w:rStyle w:val="17"/>
          <w:rFonts w:hint="eastAsia" w:ascii="仿宋_GB2312" w:hAnsi="楷体" w:eastAsia="仿宋_GB2312"/>
          <w:b w:val="0"/>
          <w:spacing w:val="-4"/>
          <w:sz w:val="28"/>
          <w:szCs w:val="28"/>
        </w:rPr>
        <w:t>基本支出2639.66</w:t>
      </w:r>
      <w:r>
        <w:rPr>
          <w:rStyle w:val="17"/>
          <w:rFonts w:hint="eastAsia" w:ascii="仿宋_GB2312" w:hAnsi="楷体" w:eastAsia="仿宋_GB2312"/>
          <w:b w:val="0"/>
          <w:spacing w:val="-4"/>
          <w:sz w:val="28"/>
          <w:szCs w:val="28"/>
        </w:rPr>
        <w:t>万元，其中：工资福利支出、商品和服务支出、对个人和家庭的补助支出。</w:t>
      </w:r>
    </w:p>
    <w:p>
      <w:pPr>
        <w:spacing w:line="360" w:lineRule="auto"/>
        <w:ind w:firstLine="492" w:firstLineChars="181"/>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fldChar w:fldCharType="begin"/>
      </w:r>
      <w:r>
        <w:rPr>
          <w:rStyle w:val="17"/>
          <w:rFonts w:ascii="仿宋_GB2312" w:hAnsi="楷体" w:eastAsia="仿宋_GB2312"/>
          <w:b w:val="0"/>
          <w:spacing w:val="-4"/>
          <w:sz w:val="28"/>
          <w:szCs w:val="28"/>
        </w:rPr>
        <w:instrText xml:space="preserve"> </w:instrText>
      </w:r>
      <w:r>
        <w:rPr>
          <w:rStyle w:val="17"/>
          <w:rFonts w:hint="eastAsia" w:ascii="仿宋_GB2312" w:hAnsi="楷体" w:eastAsia="仿宋_GB2312"/>
          <w:b w:val="0"/>
          <w:spacing w:val="-4"/>
          <w:sz w:val="28"/>
          <w:szCs w:val="28"/>
        </w:rPr>
        <w:instrText xml:space="preserve">= 2 \* GB3</w:instrText>
      </w:r>
      <w:r>
        <w:rPr>
          <w:rStyle w:val="17"/>
          <w:rFonts w:ascii="仿宋_GB2312" w:hAnsi="楷体" w:eastAsia="仿宋_GB2312"/>
          <w:b w:val="0"/>
          <w:spacing w:val="-4"/>
          <w:sz w:val="28"/>
          <w:szCs w:val="28"/>
        </w:rPr>
        <w:instrText xml:space="preserve"> </w:instrText>
      </w:r>
      <w:r>
        <w:rPr>
          <w:rStyle w:val="17"/>
          <w:rFonts w:ascii="仿宋_GB2312" w:hAnsi="楷体" w:eastAsia="仿宋_GB2312"/>
          <w:b w:val="0"/>
          <w:spacing w:val="-4"/>
          <w:sz w:val="28"/>
          <w:szCs w:val="28"/>
        </w:rPr>
        <w:fldChar w:fldCharType="separate"/>
      </w:r>
      <w:r>
        <w:rPr>
          <w:rStyle w:val="17"/>
          <w:rFonts w:hint="eastAsia" w:ascii="仿宋_GB2312" w:hAnsi="楷体" w:eastAsia="仿宋_GB2312"/>
          <w:b w:val="0"/>
          <w:spacing w:val="-4"/>
          <w:sz w:val="28"/>
          <w:szCs w:val="28"/>
        </w:rPr>
        <w:t>②</w:t>
      </w:r>
      <w:r>
        <w:rPr>
          <w:rStyle w:val="17"/>
          <w:rFonts w:ascii="仿宋_GB2312" w:hAnsi="楷体" w:eastAsia="仿宋_GB2312"/>
          <w:b w:val="0"/>
          <w:spacing w:val="-4"/>
          <w:sz w:val="28"/>
          <w:szCs w:val="28"/>
        </w:rPr>
        <w:fldChar w:fldCharType="end"/>
      </w:r>
      <w:r>
        <w:rPr>
          <w:rStyle w:val="17"/>
          <w:rFonts w:hint="eastAsia" w:ascii="仿宋_GB2312" w:hAnsi="楷体" w:eastAsia="仿宋_GB2312"/>
          <w:b w:val="0"/>
          <w:spacing w:val="-4"/>
          <w:sz w:val="28"/>
          <w:szCs w:val="28"/>
        </w:rPr>
        <w:t>本年度我单位无项目支出。</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二、部门单位整体支出管理及使用情况</w:t>
      </w:r>
      <w:bookmarkEnd w:id="10"/>
    </w:p>
    <w:p>
      <w:pPr>
        <w:pStyle w:val="4"/>
        <w:spacing w:line="360" w:lineRule="auto"/>
        <w:rPr>
          <w:rStyle w:val="17"/>
          <w:rFonts w:ascii="仿宋" w:hAnsi="仿宋" w:eastAsia="仿宋"/>
          <w:b/>
          <w:bCs/>
        </w:rPr>
      </w:pPr>
      <w:bookmarkStart w:id="11" w:name="_Toc70450298"/>
      <w:r>
        <w:rPr>
          <w:rStyle w:val="17"/>
          <w:rFonts w:hint="eastAsia" w:ascii="仿宋" w:hAnsi="仿宋" w:eastAsia="仿宋"/>
          <w:b/>
          <w:bCs/>
        </w:rPr>
        <w:t>（一）预算管理</w:t>
      </w:r>
      <w:bookmarkEnd w:id="11"/>
    </w:p>
    <w:p>
      <w:pPr>
        <w:pStyle w:val="5"/>
        <w:spacing w:line="360" w:lineRule="auto"/>
        <w:ind w:firstLine="562" w:firstLineChars="200"/>
        <w:rPr>
          <w:rStyle w:val="17"/>
          <w:rFonts w:ascii="仿宋" w:hAnsi="仿宋" w:eastAsia="仿宋"/>
          <w:b/>
          <w:bCs/>
        </w:rPr>
      </w:pPr>
      <w:bookmarkStart w:id="12" w:name="_Toc70450299"/>
      <w:r>
        <w:rPr>
          <w:rStyle w:val="17"/>
          <w:rFonts w:ascii="仿宋" w:hAnsi="仿宋" w:eastAsia="仿宋"/>
          <w:b/>
          <w:bCs/>
        </w:rPr>
        <w:t>1</w:t>
      </w:r>
      <w:r>
        <w:rPr>
          <w:rStyle w:val="17"/>
          <w:rFonts w:hint="eastAsia" w:ascii="仿宋" w:hAnsi="仿宋" w:eastAsia="仿宋"/>
          <w:b/>
          <w:bCs/>
        </w:rPr>
        <w:t>、预算编制管理</w:t>
      </w:r>
      <w:bookmarkEnd w:id="12"/>
    </w:p>
    <w:p>
      <w:pPr>
        <w:spacing w:line="560" w:lineRule="exact"/>
        <w:ind w:firstLine="560" w:firstLineChars="200"/>
        <w:rPr>
          <w:rFonts w:ascii="仿宋_GB2312" w:eastAsia="仿宋_GB2312"/>
          <w:sz w:val="28"/>
          <w:szCs w:val="36"/>
        </w:rPr>
      </w:pPr>
      <w:bookmarkStart w:id="13" w:name="_Toc70450300"/>
      <w:r>
        <w:rPr>
          <w:rFonts w:hint="eastAsia" w:ascii="仿宋_GB2312" w:eastAsia="仿宋_GB2312"/>
          <w:sz w:val="28"/>
          <w:szCs w:val="36"/>
        </w:rPr>
        <w:t>特克斯县第一中学严格按照财政部门预算编制与预算调整的工作要求，在预算编制、分配依据充分的条件下，切实做好“先定目标再编预算”，确保预算分配结果合理。同时按照特克斯县</w:t>
      </w:r>
      <w:r>
        <w:rPr>
          <w:rFonts w:hint="eastAsia" w:ascii="仿宋_GB2312" w:eastAsia="仿宋_GB2312"/>
          <w:sz w:val="28"/>
          <w:szCs w:val="36"/>
          <w:lang w:val="en-US" w:eastAsia="zh-CN"/>
        </w:rPr>
        <w:t>财政局</w:t>
      </w:r>
      <w:r>
        <w:rPr>
          <w:rFonts w:hint="eastAsia" w:ascii="仿宋_GB2312" w:eastAsia="仿宋_GB2312"/>
          <w:sz w:val="28"/>
          <w:szCs w:val="36"/>
        </w:rPr>
        <w:t>要求，部门预算及绩效目标在特克斯县人民政府政务网站公开，</w:t>
      </w:r>
      <w:r>
        <w:rPr>
          <w:rFonts w:hint="eastAsia" w:ascii="仿宋_GB2312" w:eastAsia="仿宋_GB2312"/>
          <w:sz w:val="28"/>
          <w:szCs w:val="36"/>
          <w:lang w:val="zh-CN"/>
        </w:rPr>
        <w:t>广泛接受社会监督。</w:t>
      </w:r>
    </w:p>
    <w:p>
      <w:pPr>
        <w:pStyle w:val="5"/>
        <w:spacing w:line="360" w:lineRule="auto"/>
        <w:ind w:firstLine="562" w:firstLineChars="200"/>
        <w:rPr>
          <w:rStyle w:val="17"/>
          <w:rFonts w:ascii="仿宋" w:hAnsi="仿宋" w:eastAsia="仿宋"/>
          <w:b/>
          <w:bCs/>
        </w:rPr>
      </w:pPr>
      <w:r>
        <w:rPr>
          <w:rStyle w:val="17"/>
          <w:rFonts w:hint="eastAsia" w:ascii="仿宋" w:hAnsi="仿宋" w:eastAsia="仿宋"/>
          <w:b/>
          <w:bCs/>
        </w:rPr>
        <w:t>2</w:t>
      </w:r>
      <w:r>
        <w:rPr>
          <w:rStyle w:val="17"/>
          <w:rFonts w:ascii="仿宋" w:hAnsi="仿宋" w:eastAsia="仿宋"/>
          <w:b/>
          <w:bCs/>
        </w:rPr>
        <w:t>、预算</w:t>
      </w:r>
      <w:r>
        <w:rPr>
          <w:rStyle w:val="17"/>
          <w:rFonts w:hint="eastAsia" w:ascii="仿宋" w:hAnsi="仿宋" w:eastAsia="仿宋"/>
          <w:b/>
          <w:bCs/>
        </w:rPr>
        <w:t>支出</w:t>
      </w:r>
      <w:r>
        <w:rPr>
          <w:rStyle w:val="17"/>
          <w:rFonts w:ascii="仿宋" w:hAnsi="仿宋" w:eastAsia="仿宋"/>
          <w:b/>
          <w:bCs/>
        </w:rPr>
        <w:t>管理</w:t>
      </w:r>
      <w:bookmarkEnd w:id="13"/>
    </w:p>
    <w:p>
      <w:pPr>
        <w:spacing w:line="560" w:lineRule="exact"/>
        <w:ind w:firstLine="560" w:firstLineChars="200"/>
        <w:rPr>
          <w:rStyle w:val="17"/>
          <w:b w:val="0"/>
          <w:bCs w:val="0"/>
        </w:rPr>
      </w:pPr>
      <w:r>
        <w:rPr>
          <w:rFonts w:hint="eastAsia" w:ascii="仿宋_GB2312" w:eastAsia="仿宋_GB2312"/>
          <w:sz w:val="28"/>
          <w:szCs w:val="36"/>
        </w:rPr>
        <w:t>特克斯县第一中学按照财政要求基本支出分月度申报资金使用计划，由财政部门按照进度每月按期拨付，人员支出按照工资计划发放工资；依照特克斯县第一中学《财务管理制度》相关规定和特克斯县第一中学《财务管理制度》规定流程，资金支出按照我内控体系中设定的流程申报审批进行；项目支出属于政府采购的，按照局特克斯县第一中学《政府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7"/>
          <w:b/>
          <w:bCs/>
          <w:sz w:val="28"/>
          <w:szCs w:val="28"/>
        </w:rPr>
      </w:pPr>
      <w:bookmarkStart w:id="14" w:name="_Toc70450301"/>
      <w:r>
        <w:rPr>
          <w:rStyle w:val="17"/>
          <w:rFonts w:hint="eastAsia"/>
          <w:b/>
          <w:bCs/>
          <w:sz w:val="28"/>
          <w:szCs w:val="28"/>
        </w:rPr>
        <w:t>（二）基本支出管理及使用情况</w:t>
      </w:r>
      <w:bookmarkEnd w:id="14"/>
    </w:p>
    <w:p>
      <w:pPr>
        <w:spacing w:line="360" w:lineRule="auto"/>
        <w:ind w:firstLine="492" w:firstLineChars="181"/>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2021年基本支出预算安排2639.66</w:t>
      </w:r>
      <w:r>
        <w:rPr>
          <w:rStyle w:val="17"/>
          <w:rFonts w:hint="eastAsia" w:ascii="仿宋_GB2312" w:hAnsi="楷体" w:eastAsia="仿宋_GB2312"/>
          <w:b w:val="0"/>
          <w:spacing w:val="-4"/>
          <w:sz w:val="28"/>
          <w:szCs w:val="28"/>
        </w:rPr>
        <w:t>万元，实际到2639.66</w:t>
      </w:r>
      <w:r>
        <w:rPr>
          <w:rStyle w:val="17"/>
          <w:rFonts w:hint="eastAsia" w:ascii="仿宋_GB2312" w:hAnsi="楷体" w:eastAsia="仿宋_GB2312"/>
          <w:b w:val="0"/>
          <w:spacing w:val="-4"/>
          <w:sz w:val="28"/>
          <w:szCs w:val="28"/>
        </w:rPr>
        <w:t>万元,实际支出2639.66</w:t>
      </w:r>
      <w:r>
        <w:rPr>
          <w:rStyle w:val="17"/>
          <w:rFonts w:hint="eastAsia" w:ascii="仿宋_GB2312" w:hAnsi="楷体" w:eastAsia="仿宋_GB2312"/>
          <w:b w:val="0"/>
          <w:spacing w:val="-4"/>
          <w:sz w:val="28"/>
          <w:szCs w:val="28"/>
        </w:rPr>
        <w:t>万元，占总支出的100％，其中：工资福利支出2184.60</w:t>
      </w:r>
      <w:r>
        <w:rPr>
          <w:rStyle w:val="17"/>
          <w:rFonts w:hint="eastAsia" w:ascii="仿宋_GB2312" w:hAnsi="楷体" w:eastAsia="仿宋_GB2312"/>
          <w:b w:val="0"/>
          <w:spacing w:val="-4"/>
          <w:sz w:val="28"/>
          <w:szCs w:val="28"/>
        </w:rPr>
        <w:t>万元、商品和服务支出346.06</w:t>
      </w:r>
      <w:r>
        <w:rPr>
          <w:rStyle w:val="17"/>
          <w:rFonts w:hint="eastAsia" w:ascii="仿宋_GB2312" w:hAnsi="楷体" w:eastAsia="仿宋_GB2312"/>
          <w:b w:val="0"/>
          <w:spacing w:val="-4"/>
          <w:sz w:val="28"/>
          <w:szCs w:val="28"/>
        </w:rPr>
        <w:t>万元、对个人和家庭的补助109.00万元、主要用于人员工资支出，办公费、印刷费、水电费、办公设备购置等。资本性支出0万元。</w:t>
      </w:r>
    </w:p>
    <w:p>
      <w:pPr>
        <w:spacing w:line="360" w:lineRule="auto"/>
        <w:ind w:firstLine="492" w:firstLineChars="181"/>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2021年基本支出比上年</w:t>
      </w:r>
      <w:r>
        <w:rPr>
          <w:rStyle w:val="17"/>
          <w:rFonts w:hint="eastAsia" w:ascii="仿宋_GB2312" w:hAnsi="楷体" w:eastAsia="仿宋_GB2312"/>
          <w:b w:val="0"/>
          <w:spacing w:val="-4"/>
          <w:sz w:val="28"/>
          <w:szCs w:val="28"/>
          <w:lang w:val="en-US" w:eastAsia="zh-CN"/>
        </w:rPr>
        <w:t>1368.42</w:t>
      </w:r>
      <w:r>
        <w:rPr>
          <w:rStyle w:val="17"/>
          <w:rFonts w:hint="eastAsia" w:ascii="仿宋_GB2312" w:hAnsi="楷体" w:eastAsia="仿宋_GB2312"/>
          <w:b w:val="0"/>
          <w:spacing w:val="-4"/>
          <w:sz w:val="28"/>
          <w:szCs w:val="28"/>
        </w:rPr>
        <w:t>万元,增加</w:t>
      </w:r>
      <w:r>
        <w:rPr>
          <w:rStyle w:val="17"/>
          <w:rFonts w:hint="eastAsia" w:ascii="仿宋_GB2312" w:hAnsi="楷体" w:eastAsia="仿宋_GB2312"/>
          <w:b w:val="0"/>
          <w:spacing w:val="-4"/>
          <w:sz w:val="28"/>
          <w:szCs w:val="28"/>
          <w:lang w:val="en-US" w:eastAsia="zh-CN"/>
        </w:rPr>
        <w:t>1271.24</w:t>
      </w:r>
      <w:r>
        <w:rPr>
          <w:rStyle w:val="17"/>
          <w:rFonts w:hint="eastAsia" w:ascii="仿宋_GB2312" w:hAnsi="楷体" w:eastAsia="仿宋_GB2312"/>
          <w:b w:val="0"/>
          <w:spacing w:val="-4"/>
          <w:sz w:val="28"/>
          <w:szCs w:val="28"/>
        </w:rPr>
        <w:t>万元，上升1</w:t>
      </w:r>
      <w:r>
        <w:rPr>
          <w:rStyle w:val="17"/>
          <w:rFonts w:hint="eastAsia" w:ascii="仿宋_GB2312" w:hAnsi="楷体" w:eastAsia="仿宋_GB2312"/>
          <w:b w:val="0"/>
          <w:spacing w:val="-4"/>
          <w:sz w:val="28"/>
          <w:szCs w:val="28"/>
          <w:lang w:val="en-US" w:eastAsia="zh-CN"/>
        </w:rPr>
        <w:t>92.90</w:t>
      </w:r>
      <w:r>
        <w:rPr>
          <w:rStyle w:val="17"/>
          <w:rFonts w:hint="eastAsia" w:ascii="仿宋_GB2312" w:hAnsi="楷体" w:eastAsia="仿宋_GB2312"/>
          <w:b w:val="0"/>
          <w:spacing w:val="-4"/>
          <w:sz w:val="28"/>
          <w:szCs w:val="28"/>
        </w:rPr>
        <w:t>%</w:t>
      </w:r>
      <w:r>
        <w:rPr>
          <w:rStyle w:val="17"/>
          <w:rFonts w:hint="eastAsia" w:ascii="仿宋_GB2312" w:hAnsi="楷体" w:eastAsia="仿宋_GB2312"/>
          <w:b w:val="0"/>
          <w:spacing w:val="-4"/>
          <w:sz w:val="28"/>
          <w:szCs w:val="28"/>
        </w:rPr>
        <w:t>，支出上升的主要原因是：人员调整，特岗入编，人数增加，兑现了部分人员职称工资，2021年3月绩效调标，发放2018年.2020年绩效奖金及2020年综合治理奖。</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w:t>
      </w:r>
      <w:r>
        <w:rPr>
          <w:rStyle w:val="17"/>
          <w:rFonts w:hint="eastAsia" w:ascii="仿宋_GB2312" w:hAnsi="楷体" w:eastAsia="仿宋_GB2312"/>
          <w:b w:val="0"/>
          <w:spacing w:val="-4"/>
          <w:sz w:val="28"/>
          <w:szCs w:val="28"/>
        </w:rPr>
        <w:t>年一般公共预算“三公”经费数为0万元，其中：因公出国（境）费0万元，公务用车购置0万元，公务用车运行费0万元，公务接待费0万元。</w:t>
      </w:r>
    </w:p>
    <w:p>
      <w:pPr>
        <w:spacing w:line="360" w:lineRule="auto"/>
        <w:ind w:firstLine="492" w:firstLineChars="181"/>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t>2021</w:t>
      </w:r>
      <w:r>
        <w:rPr>
          <w:rStyle w:val="17"/>
          <w:rFonts w:hint="eastAsia" w:ascii="仿宋_GB2312" w:hAnsi="楷体" w:eastAsia="仿宋_GB2312"/>
          <w:b w:val="0"/>
          <w:spacing w:val="-4"/>
          <w:sz w:val="28"/>
          <w:szCs w:val="28"/>
        </w:rPr>
        <w:t>年一般公共预算“三公”经费比上年增加0万元，其中：因公出国（境）费增加0万元，主要原因是：2021年我单位未安排三公经费预算；公务用车购置费为0，2021年我单位未安排预算。公务用车运行费增加0万元，主要原因是：2021年我单位未安排预算；公务接待费增加0万元，主要原因是：2021年我单位未安排预算。</w:t>
      </w:r>
    </w:p>
    <w:p>
      <w:pPr>
        <w:pStyle w:val="4"/>
        <w:spacing w:line="360" w:lineRule="auto"/>
        <w:rPr>
          <w:rStyle w:val="17"/>
          <w:rFonts w:ascii="仿宋" w:hAnsi="仿宋" w:eastAsia="仿宋"/>
          <w:b/>
          <w:bCs/>
        </w:rPr>
      </w:pPr>
      <w:bookmarkStart w:id="15" w:name="_Toc70450302"/>
      <w:r>
        <w:rPr>
          <w:rStyle w:val="17"/>
          <w:rFonts w:hint="eastAsia" w:ascii="仿宋" w:hAnsi="仿宋" w:eastAsia="仿宋"/>
          <w:b/>
          <w:bCs/>
        </w:rPr>
        <w:t>（三）专项支出管理及使用情况</w:t>
      </w:r>
      <w:bookmarkEnd w:id="15"/>
    </w:p>
    <w:p>
      <w:pPr>
        <w:pStyle w:val="5"/>
        <w:spacing w:line="360" w:lineRule="auto"/>
        <w:ind w:firstLine="562" w:firstLineChars="200"/>
        <w:rPr>
          <w:rStyle w:val="17"/>
          <w:rFonts w:ascii="仿宋" w:hAnsi="仿宋" w:eastAsia="仿宋"/>
          <w:b/>
          <w:bCs/>
        </w:rPr>
      </w:pPr>
      <w:bookmarkStart w:id="16" w:name="_Toc70450303"/>
      <w:r>
        <w:rPr>
          <w:rStyle w:val="17"/>
          <w:rFonts w:hint="eastAsia" w:ascii="仿宋" w:hAnsi="仿宋" w:eastAsia="仿宋"/>
          <w:b/>
          <w:bCs/>
        </w:rPr>
        <w:t>1、专项资金安排落实、总投入等情况分析</w:t>
      </w:r>
      <w:bookmarkEnd w:id="16"/>
    </w:p>
    <w:p>
      <w:pPr>
        <w:spacing w:line="360" w:lineRule="auto"/>
        <w:ind w:firstLine="492" w:firstLineChars="181"/>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t>2021</w:t>
      </w:r>
      <w:r>
        <w:rPr>
          <w:rStyle w:val="17"/>
          <w:rFonts w:hint="eastAsia" w:ascii="仿宋_GB2312" w:hAnsi="楷体" w:eastAsia="仿宋_GB2312"/>
          <w:b w:val="0"/>
          <w:spacing w:val="-4"/>
          <w:sz w:val="28"/>
          <w:szCs w:val="28"/>
        </w:rPr>
        <w:t>年预算安排专项资金</w:t>
      </w:r>
      <w:r>
        <w:rPr>
          <w:rStyle w:val="17"/>
          <w:rFonts w:ascii="仿宋_GB2312" w:hAnsi="楷体" w:eastAsia="仿宋_GB2312"/>
          <w:b w:val="0"/>
          <w:spacing w:val="-4"/>
          <w:sz w:val="28"/>
          <w:szCs w:val="28"/>
        </w:rPr>
        <w:t xml:space="preserve"> </w:t>
      </w:r>
      <w:r>
        <w:rPr>
          <w:rStyle w:val="17"/>
          <w:rFonts w:hint="eastAsia" w:ascii="仿宋_GB2312" w:hAnsi="楷体" w:eastAsia="仿宋_GB2312"/>
          <w:b w:val="0"/>
          <w:spacing w:val="-4"/>
          <w:sz w:val="28"/>
          <w:szCs w:val="28"/>
        </w:rPr>
        <w:t>0万元，实际到位0万元,</w:t>
      </w:r>
      <w:r>
        <w:rPr>
          <w:rFonts w:hint="eastAsia"/>
        </w:rPr>
        <w:t xml:space="preserve"> </w:t>
      </w:r>
      <w:r>
        <w:rPr>
          <w:rStyle w:val="17"/>
          <w:rFonts w:hint="eastAsia" w:ascii="仿宋_GB2312" w:hAnsi="楷体" w:eastAsia="仿宋_GB2312"/>
          <w:b w:val="0"/>
          <w:spacing w:val="-4"/>
          <w:sz w:val="28"/>
          <w:szCs w:val="28"/>
        </w:rPr>
        <w:t>到位率0％,其中:中央转移支付项目资金0万元，自治区资金0万元，本级安排0万元。</w:t>
      </w:r>
    </w:p>
    <w:p>
      <w:pPr>
        <w:pStyle w:val="5"/>
        <w:spacing w:line="360" w:lineRule="auto"/>
        <w:ind w:firstLine="562" w:firstLineChars="200"/>
        <w:rPr>
          <w:rStyle w:val="17"/>
          <w:rFonts w:ascii="仿宋" w:hAnsi="仿宋" w:eastAsia="仿宋"/>
          <w:b/>
          <w:bCs/>
        </w:rPr>
      </w:pPr>
      <w:bookmarkStart w:id="17" w:name="_Toc70450304"/>
      <w:r>
        <w:rPr>
          <w:rStyle w:val="17"/>
          <w:rFonts w:hint="eastAsia" w:ascii="仿宋" w:hAnsi="仿宋" w:eastAsia="仿宋"/>
          <w:b/>
          <w:bCs/>
        </w:rPr>
        <w:t>2、专项资金实际使用情况</w:t>
      </w:r>
      <w:bookmarkEnd w:id="17"/>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2021年专项资金支出0万元，占总支出的0%，其中2021年专项项目支出比上年0万元增加0万元，上升0 %。支出上升的主要原因是：2021年我单位未安排资金支出。</w:t>
      </w:r>
    </w:p>
    <w:p>
      <w:pPr>
        <w:pStyle w:val="5"/>
        <w:spacing w:line="360" w:lineRule="auto"/>
        <w:ind w:firstLine="562" w:firstLineChars="200"/>
        <w:rPr>
          <w:rStyle w:val="17"/>
          <w:rFonts w:ascii="仿宋" w:hAnsi="仿宋" w:eastAsia="仿宋"/>
          <w:b/>
          <w:bCs/>
        </w:rPr>
      </w:pPr>
      <w:bookmarkStart w:id="18" w:name="_Toc70450305"/>
      <w:r>
        <w:rPr>
          <w:rStyle w:val="17"/>
          <w:rFonts w:hint="eastAsia" w:ascii="仿宋" w:hAnsi="仿宋" w:eastAsia="仿宋"/>
          <w:b/>
          <w:bCs/>
        </w:rPr>
        <w:t>3、专项资金管理情况</w:t>
      </w:r>
      <w:bookmarkEnd w:id="18"/>
    </w:p>
    <w:p>
      <w:pPr>
        <w:spacing w:line="360" w:lineRule="auto"/>
        <w:ind w:firstLine="492" w:firstLineChars="181"/>
        <w:rPr>
          <w:rStyle w:val="17"/>
          <w:rFonts w:ascii="仿宋_GB2312" w:hAnsi="楷体" w:eastAsia="仿宋_GB2312"/>
          <w:b w:val="0"/>
          <w:spacing w:val="-4"/>
          <w:sz w:val="28"/>
          <w:szCs w:val="28"/>
        </w:rPr>
      </w:pPr>
      <w:bookmarkStart w:id="19" w:name="_Toc70450306"/>
      <w:r>
        <w:rPr>
          <w:rStyle w:val="17"/>
          <w:rFonts w:hint="eastAsia" w:ascii="仿宋_GB2312" w:hAnsi="楷体" w:eastAsia="仿宋_GB2312"/>
          <w:b w:val="0"/>
          <w:spacing w:val="-4"/>
          <w:sz w:val="28"/>
          <w:szCs w:val="28"/>
        </w:rPr>
        <w:t>为规范专项资金使用，提高专项资金使用效益，我单位主要采取四项措施。</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700" w:lineRule="exact"/>
        <w:ind w:firstLine="641" w:firstLineChars="236"/>
        <w:jc w:val="left"/>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（1）制定了特克斯县第一中学专项资金管理办法，各项资金使用审批流程均按规定办理。涉及“三重一大”内容，严格按照规定提请局党组会审议决定，包括项目资金分配、重大项目确定、大额资金支付等。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w:t>
      </w:r>
      <w:r>
        <w:rPr>
          <w:rStyle w:val="17"/>
          <w:rFonts w:ascii="仿宋_GB2312" w:hAnsi="楷体" w:eastAsia="仿宋_GB2312"/>
          <w:b w:val="0"/>
          <w:spacing w:val="-4"/>
          <w:sz w:val="28"/>
          <w:szCs w:val="28"/>
        </w:rPr>
        <w:t>2</w:t>
      </w:r>
      <w:r>
        <w:rPr>
          <w:rStyle w:val="17"/>
          <w:rFonts w:hint="eastAsia" w:ascii="仿宋_GB2312" w:hAnsi="楷体" w:eastAsia="仿宋_GB2312"/>
          <w:b w:val="0"/>
          <w:spacing w:val="-4"/>
          <w:sz w:val="28"/>
          <w:szCs w:val="28"/>
        </w:rPr>
        <w:t>）建立特克斯县第一中学专项资金专帐，做到有据可依，有据可查。</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（3）制订了特克斯县第一中学项目实施方案，确保项目顺利进行。</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（4）认真组织特克斯县第一中学项目验收，确保项目顺利进行。</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专项资金涉及政府采购项目的，按照局《呼吉尔特蒙古民族乡托斯曼小学采购与招标管理办法》组织人员制定采购计划，按照财政局采购部门批复，进行公开招标、邀请招标等方式进行。</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三、部门单位专项组织实施情况</w:t>
      </w:r>
      <w:bookmarkEnd w:id="19"/>
    </w:p>
    <w:p>
      <w:pPr>
        <w:spacing w:line="360" w:lineRule="auto"/>
        <w:ind w:firstLine="492" w:firstLineChars="181"/>
        <w:rPr>
          <w:rStyle w:val="17"/>
          <w:rFonts w:hint="eastAsia" w:ascii="仿宋_GB2312" w:hAnsi="楷体" w:eastAsia="仿宋_GB2312"/>
          <w:b w:val="0"/>
          <w:spacing w:val="-4"/>
          <w:sz w:val="28"/>
          <w:szCs w:val="28"/>
          <w:lang w:eastAsia="zh-CN"/>
        </w:rPr>
      </w:pPr>
      <w:bookmarkStart w:id="20" w:name="_Toc70450310"/>
      <w:r>
        <w:rPr>
          <w:rStyle w:val="17"/>
          <w:rFonts w:hint="eastAsia" w:ascii="仿宋_GB2312" w:hAnsi="楷体" w:eastAsia="仿宋_GB2312"/>
          <w:b w:val="0"/>
          <w:spacing w:val="-4"/>
          <w:sz w:val="28"/>
          <w:szCs w:val="28"/>
        </w:rPr>
        <w:t>2021年我单位未安排项目支出预算</w:t>
      </w:r>
      <w:r>
        <w:rPr>
          <w:rStyle w:val="17"/>
          <w:rFonts w:hint="eastAsia" w:ascii="仿宋_GB2312" w:hAnsi="楷体" w:eastAsia="仿宋_GB2312"/>
          <w:b w:val="0"/>
          <w:spacing w:val="-4"/>
          <w:sz w:val="28"/>
          <w:szCs w:val="28"/>
          <w:lang w:eastAsia="zh-CN"/>
        </w:rPr>
        <w:t>。</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四、资产管理情况</w:t>
      </w:r>
      <w:bookmarkEnd w:id="20"/>
    </w:p>
    <w:p>
      <w:pPr>
        <w:pStyle w:val="4"/>
        <w:spacing w:line="360" w:lineRule="auto"/>
        <w:rPr>
          <w:rStyle w:val="17"/>
          <w:rFonts w:ascii="仿宋" w:hAnsi="仿宋" w:eastAsia="仿宋"/>
          <w:b/>
          <w:bCs/>
        </w:rPr>
      </w:pPr>
      <w:bookmarkStart w:id="21" w:name="_Toc70450311"/>
      <w:r>
        <w:rPr>
          <w:rStyle w:val="17"/>
          <w:rFonts w:hint="eastAsia" w:ascii="仿宋" w:hAnsi="仿宋" w:eastAsia="仿宋"/>
          <w:b/>
          <w:bCs/>
        </w:rPr>
        <w:t>（一）资产配置情况</w:t>
      </w:r>
      <w:bookmarkEnd w:id="21"/>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2021年特克斯县第一中学资产总额179.42万元，其中流动资产</w:t>
      </w:r>
      <w:r>
        <w:rPr>
          <w:rStyle w:val="17"/>
          <w:rFonts w:ascii="仿宋_GB2312" w:hAnsi="宋体" w:eastAsia="仿宋_GB2312"/>
          <w:b w:val="0"/>
          <w:bCs w:val="0"/>
          <w:spacing w:val="-4"/>
          <w:sz w:val="28"/>
          <w:szCs w:val="28"/>
        </w:rPr>
        <w:t xml:space="preserve">   </w:t>
      </w:r>
      <w:r>
        <w:rPr>
          <w:rStyle w:val="17"/>
          <w:rFonts w:hint="eastAsia" w:ascii="仿宋_GB2312" w:hAnsi="宋体" w:eastAsia="仿宋_GB2312"/>
          <w:b w:val="0"/>
          <w:bCs w:val="0"/>
          <w:spacing w:val="-4"/>
          <w:sz w:val="28"/>
          <w:szCs w:val="28"/>
        </w:rPr>
        <w:t>0万元，固定资产净值179.42万元（其中：土地、房屋及构筑物0万元，占固定资产净值的0%；通用设备62.56万元，占固定资产净值的35%；专用设备15.68万元，占固定资产净值的8.70%；图书、档案1.02万元，占固定资产净值的0.57%；家具、用具、装具及动植物100.17万元，占固定资产净值的55.73%）。</w:t>
      </w:r>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本年度流动资产0万元，比上年增加0万元，原因是：2021年度我单位无流动资产  。</w:t>
      </w:r>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本年度固定资产179.42万元，比上年增加0万元，原因是：本年度无新增固定资产 。</w:t>
      </w:r>
    </w:p>
    <w:p>
      <w:pPr>
        <w:snapToGrid w:val="0"/>
        <w:spacing w:line="360" w:lineRule="auto"/>
        <w:ind w:firstLine="544" w:firstLineChars="200"/>
        <w:rPr>
          <w:rStyle w:val="17"/>
          <w:rFonts w:ascii="宋体" w:hAnsi="宋体" w:eastAsia="宋体"/>
          <w:bCs w:val="0"/>
          <w:color w:val="FF0000"/>
          <w:spacing w:val="-4"/>
          <w:sz w:val="28"/>
          <w:szCs w:val="28"/>
        </w:rPr>
      </w:pPr>
      <w:r>
        <w:rPr>
          <w:rStyle w:val="17"/>
          <w:rFonts w:hint="eastAsia" w:ascii="仿宋_GB2312" w:hAnsi="宋体" w:eastAsia="仿宋_GB2312"/>
          <w:b w:val="0"/>
          <w:bCs w:val="0"/>
          <w:spacing w:val="-4"/>
          <w:sz w:val="28"/>
          <w:szCs w:val="28"/>
        </w:rPr>
        <w:t>实际在用固定资产179.42万元，固定资产利用率100%。</w:t>
      </w:r>
    </w:p>
    <w:p>
      <w:pPr>
        <w:pStyle w:val="4"/>
        <w:spacing w:line="360" w:lineRule="auto"/>
        <w:rPr>
          <w:rStyle w:val="17"/>
          <w:rFonts w:ascii="仿宋" w:hAnsi="仿宋" w:eastAsia="仿宋"/>
          <w:b/>
          <w:bCs/>
        </w:rPr>
      </w:pPr>
      <w:bookmarkStart w:id="22" w:name="_Toc70450312"/>
      <w:r>
        <w:rPr>
          <w:rStyle w:val="17"/>
          <w:rFonts w:hint="eastAsia" w:ascii="仿宋" w:hAnsi="仿宋" w:eastAsia="仿宋"/>
          <w:b/>
          <w:bCs/>
        </w:rPr>
        <w:t>（二）资产管理情况</w:t>
      </w:r>
      <w:bookmarkEnd w:id="22"/>
    </w:p>
    <w:p>
      <w:pPr>
        <w:spacing w:line="360" w:lineRule="auto"/>
        <w:ind w:firstLine="544" w:firstLineChars="200"/>
        <w:rPr>
          <w:rStyle w:val="17"/>
          <w:rFonts w:ascii="仿宋_GB2312" w:hAnsi="宋体" w:eastAsia="仿宋_GB2312"/>
          <w:b w:val="0"/>
          <w:color w:val="000000" w:themeColor="text1"/>
          <w:spacing w:val="-4"/>
          <w:sz w:val="28"/>
          <w:szCs w:val="28"/>
          <w14:textFill>
            <w14:solidFill>
              <w14:schemeClr w14:val="tx1"/>
            </w14:solidFill>
          </w14:textFill>
        </w:rPr>
      </w:pPr>
      <w:r>
        <w:rPr>
          <w:rStyle w:val="17"/>
          <w:rFonts w:hint="eastAsia" w:ascii="仿宋_GB2312" w:hAnsi="宋体" w:eastAsia="仿宋_GB2312"/>
          <w:b w:val="0"/>
          <w:color w:val="000000" w:themeColor="text1"/>
          <w:spacing w:val="-4"/>
          <w:sz w:val="28"/>
          <w:szCs w:val="28"/>
          <w14:textFill>
            <w14:solidFill>
              <w14:schemeClr w14:val="tx1"/>
            </w14:solidFill>
          </w14:textFill>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7"/>
          <w:rFonts w:ascii="仿宋_GB2312" w:hAnsi="宋体" w:eastAsia="仿宋_GB2312"/>
          <w:b w:val="0"/>
          <w:color w:val="000000" w:themeColor="text1"/>
          <w:spacing w:val="-4"/>
          <w:sz w:val="28"/>
          <w:szCs w:val="28"/>
          <w14:textFill>
            <w14:solidFill>
              <w14:schemeClr w14:val="tx1"/>
            </w14:solidFill>
          </w14:textFill>
        </w:rPr>
      </w:pPr>
      <w:r>
        <w:rPr>
          <w:rStyle w:val="17"/>
          <w:rFonts w:hint="eastAsia" w:ascii="仿宋_GB2312" w:hAnsi="宋体" w:eastAsia="仿宋_GB2312"/>
          <w:b w:val="0"/>
          <w:color w:val="000000" w:themeColor="text1"/>
          <w:spacing w:val="-4"/>
          <w:sz w:val="28"/>
          <w:szCs w:val="28"/>
          <w14:textFill>
            <w14:solidFill>
              <w14:schemeClr w14:val="tx1"/>
            </w14:solidFill>
          </w14:textFill>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4"/>
        <w:spacing w:line="360" w:lineRule="auto"/>
        <w:ind w:firstLine="643" w:firstLineChars="200"/>
        <w:rPr>
          <w:rStyle w:val="17"/>
          <w:rFonts w:ascii="仿宋" w:hAnsi="仿宋" w:eastAsia="仿宋"/>
          <w:b/>
          <w:bCs/>
        </w:rPr>
      </w:pPr>
      <w:bookmarkStart w:id="24" w:name="_Toc70450314"/>
      <w:r>
        <w:rPr>
          <w:rStyle w:val="17"/>
          <w:rFonts w:hint="eastAsia" w:ascii="仿宋" w:hAnsi="仿宋" w:eastAsia="仿宋"/>
          <w:b/>
          <w:bCs/>
        </w:rPr>
        <w:t>（一）经济效益评价</w:t>
      </w:r>
      <w:bookmarkEnd w:id="24"/>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2021年度我单位年初预算安排1507.85万元，年中调整1131.81万元，截止12月底支出2639.66万元，执行率100%。</w:t>
      </w:r>
    </w:p>
    <w:p>
      <w:pPr>
        <w:spacing w:line="360" w:lineRule="auto"/>
        <w:ind w:firstLine="544" w:firstLineChars="200"/>
        <w:rPr>
          <w:rStyle w:val="17"/>
          <w:rFonts w:ascii="仿宋_GB2312" w:hAnsi="宋体" w:eastAsia="仿宋_GB2312"/>
          <w:b w:val="0"/>
          <w:bCs w:val="0"/>
          <w:spacing w:val="-4"/>
          <w:sz w:val="28"/>
          <w:szCs w:val="28"/>
        </w:rPr>
      </w:pPr>
      <w:r>
        <w:rPr>
          <w:rStyle w:val="17"/>
          <w:rFonts w:ascii="仿宋_GB2312" w:hAnsi="宋体" w:eastAsia="仿宋_GB2312"/>
          <w:b w:val="0"/>
          <w:bCs w:val="0"/>
          <w:spacing w:val="-4"/>
          <w:sz w:val="28"/>
          <w:szCs w:val="28"/>
        </w:rPr>
        <w:t>1</w:t>
      </w:r>
      <w:r>
        <w:rPr>
          <w:rStyle w:val="17"/>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7"/>
          <w:rFonts w:ascii="仿宋_GB2312" w:hAnsi="宋体" w:eastAsia="仿宋_GB2312"/>
          <w:b w:val="0"/>
          <w:bCs w:val="0"/>
          <w:spacing w:val="-4"/>
          <w:sz w:val="28"/>
          <w:szCs w:val="28"/>
        </w:rPr>
      </w:pPr>
      <w:r>
        <w:rPr>
          <w:rStyle w:val="17"/>
          <w:rFonts w:ascii="仿宋_GB2312" w:hAnsi="宋体" w:eastAsia="仿宋_GB2312"/>
          <w:b w:val="0"/>
          <w:bCs w:val="0"/>
          <w:spacing w:val="-4"/>
          <w:sz w:val="28"/>
          <w:szCs w:val="28"/>
        </w:rPr>
        <w:t>2</w:t>
      </w:r>
      <w:r>
        <w:rPr>
          <w:rStyle w:val="17"/>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7"/>
          <w:rFonts w:ascii="仿宋" w:hAnsi="仿宋" w:eastAsia="仿宋"/>
          <w:b/>
          <w:bCs/>
        </w:rPr>
      </w:pPr>
      <w:bookmarkStart w:id="25" w:name="_Toc70450315"/>
      <w:r>
        <w:rPr>
          <w:rStyle w:val="17"/>
          <w:rFonts w:hint="eastAsia" w:ascii="仿宋" w:hAnsi="仿宋" w:eastAsia="仿宋"/>
          <w:b/>
          <w:bCs/>
        </w:rPr>
        <w:t>（二）效率性评价</w:t>
      </w:r>
      <w:bookmarkEnd w:id="25"/>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2021年，在特克斯县人民政府的大力支持和教育局党委的正确领导下，特克斯县第一中学迎难而上、务实重干，积极推动各项教育工作取得了新的进展，为促进经济持续健康发展与社会和谐稳定提供了有力的教育支撑和保障。</w:t>
      </w:r>
    </w:p>
    <w:p>
      <w:pPr>
        <w:numPr>
          <w:ilvl w:val="0"/>
          <w:numId w:val="1"/>
        </w:numPr>
        <w:spacing w:line="360" w:lineRule="auto"/>
        <w:ind w:firstLine="544" w:firstLineChars="200"/>
        <w:rPr>
          <w:rStyle w:val="17"/>
          <w:rFonts w:ascii="仿宋_GB2312" w:hAnsi="楷体" w:eastAsia="仿宋_GB2312"/>
          <w:b w:val="0"/>
          <w:spacing w:val="-4"/>
          <w:sz w:val="28"/>
          <w:szCs w:val="28"/>
          <w:highlight w:val="none"/>
        </w:rPr>
      </w:pPr>
      <w:bookmarkStart w:id="26" w:name="_Toc70450316"/>
      <w:r>
        <w:rPr>
          <w:rStyle w:val="17"/>
          <w:rFonts w:hint="eastAsia" w:ascii="仿宋_GB2312" w:hAnsi="楷体" w:eastAsia="仿宋_GB2312"/>
          <w:b w:val="0"/>
          <w:spacing w:val="-4"/>
          <w:sz w:val="28"/>
          <w:szCs w:val="28"/>
          <w:highlight w:val="none"/>
        </w:rPr>
        <w:t>圆满完成教学任务工作</w:t>
      </w:r>
    </w:p>
    <w:p>
      <w:pPr>
        <w:spacing w:line="360" w:lineRule="auto"/>
        <w:ind w:firstLine="544" w:firstLineChars="200"/>
        <w:rPr>
          <w:rStyle w:val="17"/>
          <w:rFonts w:ascii="仿宋_GB2312" w:hAnsi="楷体" w:eastAsia="仿宋_GB2312"/>
          <w:b w:val="0"/>
          <w:spacing w:val="-4"/>
          <w:sz w:val="28"/>
          <w:szCs w:val="28"/>
          <w:highlight w:val="none"/>
        </w:rPr>
      </w:pPr>
      <w:r>
        <w:rPr>
          <w:rStyle w:val="17"/>
          <w:rFonts w:hint="eastAsia" w:ascii="仿宋_GB2312" w:hAnsi="宋体" w:eastAsia="仿宋_GB2312"/>
          <w:b w:val="0"/>
          <w:bCs w:val="0"/>
          <w:spacing w:val="-4"/>
          <w:sz w:val="28"/>
          <w:szCs w:val="28"/>
          <w:highlight w:val="none"/>
        </w:rPr>
        <w:t>根据国家教育方针，严格按照上级主管部门教育教学规定，根据学校自己情况制定教育教学计划，年末圆满完成教育教学任务。</w:t>
      </w:r>
    </w:p>
    <w:p>
      <w:pPr>
        <w:numPr>
          <w:ilvl w:val="0"/>
          <w:numId w:val="1"/>
        </w:numPr>
        <w:spacing w:line="360" w:lineRule="auto"/>
        <w:ind w:firstLine="544" w:firstLineChars="200"/>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教育教学任务提前完成</w:t>
      </w:r>
    </w:p>
    <w:p>
      <w:pPr>
        <w:spacing w:line="360" w:lineRule="auto"/>
        <w:ind w:firstLine="544" w:firstLineChars="200"/>
        <w:rPr>
          <w:rStyle w:val="17"/>
          <w:rFonts w:ascii="仿宋_GB2312" w:hAnsi="宋体" w:eastAsia="仿宋_GB2312"/>
          <w:b w:val="0"/>
          <w:bCs w:val="0"/>
          <w:spacing w:val="-4"/>
          <w:sz w:val="28"/>
          <w:szCs w:val="28"/>
          <w:highlight w:val="none"/>
        </w:rPr>
      </w:pPr>
      <w:r>
        <w:rPr>
          <w:rStyle w:val="17"/>
          <w:rFonts w:hint="eastAsia" w:ascii="仿宋_GB2312" w:hAnsi="宋体" w:eastAsia="仿宋_GB2312"/>
          <w:b w:val="0"/>
          <w:bCs w:val="0"/>
          <w:spacing w:val="-4"/>
          <w:sz w:val="28"/>
          <w:szCs w:val="28"/>
          <w:highlight w:val="none"/>
        </w:rPr>
        <w:t>根据本单位教育教学任务，随时做好调整教育教学准备，加强课程实施监测和日常教学监督管理，进一步规范教学管理，提前完成本学期教学任务。</w:t>
      </w:r>
    </w:p>
    <w:p>
      <w:pPr>
        <w:numPr>
          <w:ilvl w:val="0"/>
          <w:numId w:val="1"/>
        </w:numPr>
        <w:spacing w:line="360" w:lineRule="auto"/>
        <w:ind w:firstLine="544" w:firstLineChars="200"/>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教师满意度和家长满意度成效显著</w:t>
      </w:r>
    </w:p>
    <w:p>
      <w:pPr>
        <w:spacing w:line="360" w:lineRule="auto"/>
        <w:ind w:firstLine="544" w:firstLineChars="200"/>
        <w:rPr>
          <w:rStyle w:val="17"/>
          <w:rFonts w:ascii="仿宋_GB2312" w:hAnsi="宋体" w:eastAsia="仿宋_GB2312"/>
          <w:b w:val="0"/>
          <w:bCs w:val="0"/>
          <w:spacing w:val="-4"/>
          <w:sz w:val="28"/>
          <w:szCs w:val="28"/>
          <w:highlight w:val="none"/>
        </w:rPr>
      </w:pPr>
      <w:r>
        <w:rPr>
          <w:rStyle w:val="17"/>
          <w:rFonts w:hint="eastAsia" w:ascii="仿宋_GB2312" w:hAnsi="楷体" w:eastAsia="仿宋_GB2312"/>
          <w:b w:val="0"/>
          <w:spacing w:val="-4"/>
          <w:sz w:val="28"/>
          <w:szCs w:val="28"/>
          <w:highlight w:val="none"/>
        </w:rPr>
        <w:t>教师满意度：</w:t>
      </w:r>
      <w:r>
        <w:rPr>
          <w:rStyle w:val="17"/>
          <w:rFonts w:hint="eastAsia" w:ascii="仿宋_GB2312" w:hAnsi="宋体" w:eastAsia="仿宋_GB2312"/>
          <w:b w:val="0"/>
          <w:bCs w:val="0"/>
          <w:spacing w:val="-4"/>
          <w:sz w:val="28"/>
          <w:szCs w:val="28"/>
          <w:highlight w:val="none"/>
        </w:rPr>
        <w:t>学校在评优树先的方面方案科学合理，体现公平公正的原则，能充分调动每一位教职工的积极性。</w:t>
      </w:r>
    </w:p>
    <w:p>
      <w:pPr>
        <w:spacing w:line="360" w:lineRule="auto"/>
        <w:ind w:firstLine="544" w:firstLineChars="200"/>
        <w:rPr>
          <w:rStyle w:val="17"/>
          <w:rFonts w:ascii="仿宋_GB2312" w:hAnsi="宋体" w:eastAsia="仿宋_GB2312"/>
          <w:b w:val="0"/>
          <w:bCs w:val="0"/>
          <w:spacing w:val="-4"/>
          <w:sz w:val="28"/>
          <w:szCs w:val="28"/>
          <w:highlight w:val="none"/>
        </w:rPr>
      </w:pPr>
      <w:r>
        <w:rPr>
          <w:rStyle w:val="17"/>
          <w:rFonts w:hint="eastAsia" w:ascii="仿宋_GB2312" w:hAnsi="宋体" w:eastAsia="仿宋_GB2312"/>
          <w:b w:val="0"/>
          <w:bCs w:val="0"/>
          <w:spacing w:val="-4"/>
          <w:sz w:val="28"/>
          <w:szCs w:val="28"/>
          <w:highlight w:val="none"/>
        </w:rPr>
        <w:t>学校建立科学的考核机制，管理到位。</w:t>
      </w:r>
    </w:p>
    <w:p>
      <w:pPr>
        <w:spacing w:line="360" w:lineRule="auto"/>
        <w:ind w:firstLine="544" w:firstLineChars="200"/>
        <w:rPr>
          <w:rStyle w:val="17"/>
          <w:rFonts w:ascii="仿宋_GB2312" w:hAnsi="宋体" w:eastAsia="仿宋_GB2312"/>
          <w:b w:val="0"/>
          <w:bCs w:val="0"/>
          <w:spacing w:val="-4"/>
          <w:sz w:val="28"/>
          <w:szCs w:val="28"/>
          <w:highlight w:val="none"/>
        </w:rPr>
      </w:pPr>
      <w:r>
        <w:rPr>
          <w:rStyle w:val="17"/>
          <w:rFonts w:hint="eastAsia" w:ascii="仿宋_GB2312" w:hAnsi="楷体" w:eastAsia="仿宋_GB2312"/>
          <w:b w:val="0"/>
          <w:spacing w:val="-4"/>
          <w:sz w:val="28"/>
          <w:szCs w:val="28"/>
          <w:highlight w:val="none"/>
        </w:rPr>
        <w:t>家长满意度：</w:t>
      </w:r>
      <w:r>
        <w:rPr>
          <w:rStyle w:val="17"/>
          <w:rFonts w:hint="eastAsia" w:ascii="仿宋_GB2312" w:hAnsi="宋体" w:eastAsia="仿宋_GB2312"/>
          <w:b w:val="0"/>
          <w:bCs w:val="0"/>
          <w:spacing w:val="-4"/>
          <w:sz w:val="28"/>
          <w:szCs w:val="28"/>
          <w:highlight w:val="none"/>
        </w:rPr>
        <w:t>家长认为学校学风教风好，教师师德好。</w:t>
      </w:r>
    </w:p>
    <w:p>
      <w:pPr>
        <w:spacing w:line="360" w:lineRule="auto"/>
        <w:ind w:firstLine="544" w:firstLineChars="200"/>
        <w:rPr>
          <w:rStyle w:val="17"/>
          <w:rFonts w:ascii="仿宋_GB2312" w:hAnsi="宋体" w:eastAsia="仿宋_GB2312"/>
          <w:b w:val="0"/>
          <w:bCs w:val="0"/>
          <w:spacing w:val="-4"/>
          <w:sz w:val="28"/>
          <w:szCs w:val="28"/>
          <w:highlight w:val="none"/>
        </w:rPr>
      </w:pPr>
      <w:r>
        <w:rPr>
          <w:rStyle w:val="17"/>
          <w:rFonts w:hint="eastAsia" w:ascii="仿宋_GB2312" w:hAnsi="宋体" w:eastAsia="仿宋_GB2312"/>
          <w:b w:val="0"/>
          <w:bCs w:val="0"/>
          <w:spacing w:val="-4"/>
          <w:sz w:val="28"/>
          <w:szCs w:val="28"/>
          <w:highlight w:val="none"/>
        </w:rPr>
        <w:t>教师能够爱岗敬业，忠于党的教育事业，关心关爱学生。</w:t>
      </w:r>
    </w:p>
    <w:p>
      <w:pPr>
        <w:pStyle w:val="21"/>
        <w:tabs>
          <w:tab w:val="left" w:pos="312"/>
        </w:tabs>
        <w:spacing w:line="360" w:lineRule="auto"/>
        <w:ind w:left="544" w:firstLine="0" w:firstLineChars="0"/>
        <w:rPr>
          <w:rStyle w:val="17"/>
          <w:rFonts w:hint="eastAsia" w:ascii="仿宋_GB2312" w:hAnsi="宋体" w:eastAsia="仿宋_GB2312"/>
          <w:b w:val="0"/>
          <w:bCs w:val="0"/>
          <w:spacing w:val="-4"/>
          <w:sz w:val="28"/>
          <w:szCs w:val="28"/>
          <w:highlight w:val="none"/>
        </w:rPr>
      </w:pPr>
      <w:r>
        <w:rPr>
          <w:rStyle w:val="17"/>
          <w:rFonts w:hint="eastAsia" w:ascii="仿宋_GB2312" w:hAnsi="宋体" w:eastAsia="仿宋_GB2312"/>
          <w:b w:val="0"/>
          <w:bCs w:val="0"/>
          <w:spacing w:val="-4"/>
          <w:sz w:val="28"/>
          <w:szCs w:val="28"/>
          <w:highlight w:val="none"/>
        </w:rPr>
        <w:t>4、教育教学全面达标，群众满意度高。</w:t>
      </w:r>
    </w:p>
    <w:p>
      <w:pPr>
        <w:pStyle w:val="4"/>
        <w:spacing w:line="360" w:lineRule="auto"/>
        <w:ind w:firstLine="643" w:firstLineChars="200"/>
        <w:rPr>
          <w:rStyle w:val="17"/>
          <w:rFonts w:ascii="仿宋" w:hAnsi="仿宋" w:eastAsia="仿宋"/>
          <w:b/>
          <w:bCs/>
        </w:rPr>
      </w:pPr>
      <w:r>
        <w:rPr>
          <w:rStyle w:val="17"/>
          <w:rFonts w:hint="eastAsia" w:ascii="仿宋" w:hAnsi="仿宋" w:eastAsia="仿宋"/>
          <w:b/>
          <w:bCs/>
        </w:rPr>
        <w:t>（三）有效性评价</w:t>
      </w:r>
      <w:bookmarkEnd w:id="26"/>
    </w:p>
    <w:p>
      <w:pPr>
        <w:pStyle w:val="13"/>
        <w:widowControl/>
        <w:spacing w:before="40" w:beforeAutospacing="0" w:after="0" w:afterAutospacing="0" w:line="560" w:lineRule="exact"/>
        <w:ind w:firstLine="576" w:firstLineChars="212"/>
        <w:jc w:val="both"/>
        <w:rPr>
          <w:rStyle w:val="17"/>
          <w:rFonts w:hint="eastAsia" w:ascii="仿宋_GB2312" w:hAnsi="宋体" w:eastAsia="仿宋_GB2312" w:cstheme="minorBidi"/>
          <w:b w:val="0"/>
          <w:bCs w:val="0"/>
          <w:spacing w:val="-4"/>
          <w:kern w:val="2"/>
          <w:sz w:val="28"/>
          <w:szCs w:val="28"/>
          <w:highlight w:val="none"/>
          <w:lang w:val="en-US" w:eastAsia="zh-CN" w:bidi="ar-SA"/>
        </w:rPr>
      </w:pPr>
      <w:r>
        <w:rPr>
          <w:rStyle w:val="17"/>
          <w:rFonts w:hint="eastAsia" w:ascii="仿宋_GB2312" w:hAnsi="宋体" w:eastAsia="仿宋_GB2312" w:cstheme="minorBidi"/>
          <w:b w:val="0"/>
          <w:bCs w:val="0"/>
          <w:spacing w:val="-4"/>
          <w:kern w:val="2"/>
          <w:sz w:val="28"/>
          <w:szCs w:val="28"/>
          <w:highlight w:val="none"/>
          <w:lang w:val="en-US" w:eastAsia="zh-CN" w:bidi="ar-SA"/>
        </w:rPr>
        <w:t>特克斯县第一中学基本经费中人员经费支出、公用支出严格执行政府的各项制度，保障全局工作正常运转，三公经费的使用严格控制在预算申报的范围内；在项目经费的使用上，在保证各项任务顺利完成的同时，严格落实厉行节约的原则。</w:t>
      </w:r>
    </w:p>
    <w:p>
      <w:pPr>
        <w:snapToGrid w:val="0"/>
        <w:spacing w:line="360" w:lineRule="auto"/>
        <w:ind w:firstLine="544" w:firstLineChars="200"/>
        <w:rPr>
          <w:rStyle w:val="17"/>
          <w:rFonts w:hint="eastAsia" w:ascii="仿宋_GB2312" w:hAnsi="宋体" w:eastAsia="仿宋_GB2312" w:cstheme="minorBidi"/>
          <w:b w:val="0"/>
          <w:bCs w:val="0"/>
          <w:spacing w:val="-4"/>
          <w:kern w:val="2"/>
          <w:sz w:val="28"/>
          <w:szCs w:val="28"/>
          <w:highlight w:val="none"/>
          <w:lang w:val="en-US" w:eastAsia="zh-CN" w:bidi="ar-SA"/>
        </w:rPr>
      </w:pPr>
      <w:r>
        <w:rPr>
          <w:rStyle w:val="17"/>
          <w:rFonts w:hint="eastAsia" w:ascii="仿宋_GB2312" w:hAnsi="宋体" w:eastAsia="仿宋_GB2312" w:cstheme="minorBidi"/>
          <w:b w:val="0"/>
          <w:bCs w:val="0"/>
          <w:spacing w:val="-4"/>
          <w:kern w:val="2"/>
          <w:sz w:val="28"/>
          <w:szCs w:val="28"/>
          <w:highlight w:val="none"/>
          <w:lang w:val="en-US" w:eastAsia="zh-CN" w:bidi="ar-SA"/>
        </w:rPr>
        <w:t>特克斯县第一中学整体绩效目标共设置一级指标3个，二级指标  7个，三级指标14个，详细说明如下</w:t>
      </w:r>
    </w:p>
    <w:p>
      <w:pPr>
        <w:pStyle w:val="13"/>
        <w:widowControl/>
        <w:spacing w:before="40" w:beforeAutospacing="0" w:after="0" w:afterAutospacing="0" w:line="560" w:lineRule="exact"/>
        <w:ind w:firstLine="576" w:firstLineChars="212"/>
        <w:jc w:val="both"/>
        <w:rPr>
          <w:rStyle w:val="17"/>
          <w:rFonts w:hint="eastAsia" w:ascii="仿宋_GB2312" w:hAnsi="宋体" w:eastAsia="仿宋_GB2312" w:cstheme="minorBidi"/>
          <w:b w:val="0"/>
          <w:bCs w:val="0"/>
          <w:spacing w:val="-4"/>
          <w:kern w:val="2"/>
          <w:sz w:val="28"/>
          <w:szCs w:val="28"/>
          <w:highlight w:val="none"/>
          <w:lang w:val="en-US" w:eastAsia="zh-CN" w:bidi="ar-SA"/>
        </w:rPr>
      </w:pPr>
      <w:r>
        <w:rPr>
          <w:rStyle w:val="17"/>
          <w:rFonts w:hint="eastAsia" w:ascii="仿宋_GB2312" w:hAnsi="宋体" w:eastAsia="仿宋_GB2312" w:cstheme="minorBidi"/>
          <w:b w:val="0"/>
          <w:bCs w:val="0"/>
          <w:spacing w:val="-4"/>
          <w:kern w:val="2"/>
          <w:sz w:val="28"/>
          <w:szCs w:val="28"/>
          <w:highlight w:val="none"/>
          <w:lang w:val="en-US" w:eastAsia="zh-CN" w:bidi="ar-SA"/>
        </w:rPr>
        <w:t>1、数量指标：</w:t>
      </w:r>
    </w:p>
    <w:p>
      <w:pPr>
        <w:pStyle w:val="13"/>
        <w:widowControl/>
        <w:spacing w:before="40" w:beforeAutospacing="0" w:after="0" w:afterAutospacing="0" w:line="560" w:lineRule="exact"/>
        <w:ind w:firstLine="576" w:firstLineChars="212"/>
        <w:jc w:val="both"/>
        <w:rPr>
          <w:rStyle w:val="17"/>
          <w:rFonts w:hint="eastAsia" w:ascii="仿宋_GB2312" w:hAnsi="宋体" w:eastAsia="仿宋_GB2312" w:cstheme="minorBidi"/>
          <w:b w:val="0"/>
          <w:bCs w:val="0"/>
          <w:spacing w:val="-4"/>
          <w:kern w:val="2"/>
          <w:sz w:val="28"/>
          <w:szCs w:val="28"/>
          <w:highlight w:val="none"/>
          <w:lang w:val="en-US" w:eastAsia="zh-CN" w:bidi="ar-SA"/>
        </w:rPr>
      </w:pPr>
      <w:r>
        <w:rPr>
          <w:rStyle w:val="17"/>
          <w:rFonts w:hint="eastAsia" w:ascii="仿宋_GB2312" w:hAnsi="宋体" w:eastAsia="仿宋_GB2312" w:cstheme="minorBidi"/>
          <w:b w:val="0"/>
          <w:bCs w:val="0"/>
          <w:spacing w:val="-4"/>
          <w:kern w:val="2"/>
          <w:sz w:val="28"/>
          <w:szCs w:val="28"/>
          <w:highlight w:val="none"/>
          <w:lang w:val="en-US" w:eastAsia="zh-CN" w:bidi="ar-SA"/>
        </w:rPr>
        <w:t>指标1：保障在职人员人数，指标值：=119人，实际完成值：119人，指标完成率100%；</w:t>
      </w:r>
    </w:p>
    <w:p>
      <w:pPr>
        <w:pStyle w:val="13"/>
        <w:widowControl/>
        <w:spacing w:before="40" w:beforeAutospacing="0" w:after="0" w:afterAutospacing="0" w:line="560" w:lineRule="exact"/>
        <w:ind w:firstLine="576" w:firstLineChars="212"/>
        <w:jc w:val="both"/>
        <w:rPr>
          <w:rStyle w:val="17"/>
          <w:rFonts w:hint="eastAsia" w:ascii="仿宋_GB2312" w:hAnsi="宋体" w:eastAsia="仿宋_GB2312" w:cstheme="minorBidi"/>
          <w:b w:val="0"/>
          <w:bCs w:val="0"/>
          <w:spacing w:val="-4"/>
          <w:kern w:val="2"/>
          <w:sz w:val="28"/>
          <w:szCs w:val="28"/>
          <w:highlight w:val="none"/>
          <w:lang w:val="en-US" w:eastAsia="zh-CN" w:bidi="ar-SA"/>
        </w:rPr>
      </w:pPr>
      <w:r>
        <w:rPr>
          <w:rStyle w:val="17"/>
          <w:rFonts w:hint="eastAsia" w:ascii="仿宋_GB2312" w:hAnsi="宋体" w:eastAsia="仿宋_GB2312" w:cstheme="minorBidi"/>
          <w:b w:val="0"/>
          <w:bCs w:val="0"/>
          <w:spacing w:val="-4"/>
          <w:kern w:val="2"/>
          <w:sz w:val="28"/>
          <w:szCs w:val="28"/>
          <w:highlight w:val="none"/>
          <w:lang w:val="en-US" w:eastAsia="zh-CN" w:bidi="ar-SA"/>
        </w:rPr>
        <w:t>指标2：退休人员数，指标值：=70人，实际完成值：70人，指标完成率100%；</w:t>
      </w:r>
    </w:p>
    <w:p>
      <w:pPr>
        <w:pStyle w:val="13"/>
        <w:widowControl/>
        <w:spacing w:before="40" w:beforeAutospacing="0" w:after="0" w:afterAutospacing="0" w:line="560" w:lineRule="exact"/>
        <w:ind w:firstLine="576" w:firstLineChars="212"/>
        <w:jc w:val="both"/>
        <w:rPr>
          <w:rStyle w:val="17"/>
          <w:rFonts w:hint="eastAsia" w:ascii="仿宋_GB2312" w:hAnsi="宋体" w:eastAsia="仿宋_GB2312" w:cstheme="minorBidi"/>
          <w:b w:val="0"/>
          <w:bCs w:val="0"/>
          <w:spacing w:val="-4"/>
          <w:kern w:val="2"/>
          <w:sz w:val="28"/>
          <w:szCs w:val="28"/>
          <w:highlight w:val="none"/>
          <w:lang w:val="en-US" w:eastAsia="zh-CN" w:bidi="ar-SA"/>
        </w:rPr>
      </w:pPr>
      <w:r>
        <w:rPr>
          <w:rStyle w:val="17"/>
          <w:rFonts w:hint="eastAsia" w:ascii="仿宋_GB2312" w:hAnsi="宋体" w:eastAsia="仿宋_GB2312" w:cstheme="minorBidi"/>
          <w:b w:val="0"/>
          <w:bCs w:val="0"/>
          <w:spacing w:val="-4"/>
          <w:kern w:val="2"/>
          <w:sz w:val="28"/>
          <w:szCs w:val="28"/>
          <w:highlight w:val="none"/>
          <w:lang w:val="en-US" w:eastAsia="zh-CN" w:bidi="ar-SA"/>
        </w:rPr>
        <w:t>指标3：保障采暖补贴人员人数，指标值：=189人，实际完成值： 189人，指标完成率100%；</w:t>
      </w:r>
    </w:p>
    <w:p>
      <w:pPr>
        <w:pStyle w:val="13"/>
        <w:widowControl/>
        <w:spacing w:before="40" w:beforeAutospacing="0" w:after="0" w:afterAutospacing="0" w:line="560" w:lineRule="exact"/>
        <w:ind w:firstLine="576" w:firstLineChars="212"/>
        <w:jc w:val="both"/>
        <w:rPr>
          <w:rStyle w:val="17"/>
          <w:rFonts w:hint="eastAsia" w:ascii="仿宋_GB2312" w:hAnsi="宋体" w:eastAsia="仿宋_GB2312" w:cstheme="minorBidi"/>
          <w:b w:val="0"/>
          <w:bCs w:val="0"/>
          <w:spacing w:val="-4"/>
          <w:kern w:val="2"/>
          <w:sz w:val="28"/>
          <w:szCs w:val="28"/>
          <w:highlight w:val="none"/>
          <w:lang w:val="en-US" w:eastAsia="zh-CN" w:bidi="ar-SA"/>
        </w:rPr>
      </w:pPr>
      <w:r>
        <w:rPr>
          <w:rStyle w:val="17"/>
          <w:rFonts w:hint="eastAsia" w:ascii="仿宋_GB2312" w:hAnsi="宋体" w:eastAsia="仿宋_GB2312" w:cstheme="minorBidi"/>
          <w:b w:val="0"/>
          <w:bCs w:val="0"/>
          <w:spacing w:val="-4"/>
          <w:kern w:val="2"/>
          <w:sz w:val="28"/>
          <w:szCs w:val="28"/>
          <w:highlight w:val="none"/>
          <w:lang w:val="en-US" w:eastAsia="zh-CN" w:bidi="ar-SA"/>
        </w:rPr>
        <w:t>指标4：采暖面积，预期指标值：=29385.45平方米，实际完成值： 29385.45平方米，指标完成率100%；</w:t>
      </w:r>
    </w:p>
    <w:p>
      <w:pPr>
        <w:pStyle w:val="13"/>
        <w:widowControl/>
        <w:spacing w:before="40" w:beforeAutospacing="0" w:after="0" w:afterAutospacing="0" w:line="560" w:lineRule="exact"/>
        <w:ind w:firstLine="576" w:firstLineChars="212"/>
        <w:jc w:val="both"/>
        <w:rPr>
          <w:rStyle w:val="17"/>
          <w:rFonts w:hint="eastAsia" w:ascii="仿宋_GB2312" w:hAnsi="宋体" w:eastAsia="仿宋_GB2312" w:cstheme="minorBidi"/>
          <w:b w:val="0"/>
          <w:bCs w:val="0"/>
          <w:spacing w:val="-4"/>
          <w:kern w:val="2"/>
          <w:sz w:val="28"/>
          <w:szCs w:val="28"/>
          <w:highlight w:val="none"/>
          <w:lang w:val="en-US" w:eastAsia="zh-CN" w:bidi="ar-SA"/>
        </w:rPr>
      </w:pPr>
      <w:r>
        <w:rPr>
          <w:rStyle w:val="17"/>
          <w:rFonts w:hint="eastAsia" w:ascii="仿宋_GB2312" w:hAnsi="宋体" w:eastAsia="仿宋_GB2312" w:cstheme="minorBidi"/>
          <w:b w:val="0"/>
          <w:bCs w:val="0"/>
          <w:spacing w:val="-4"/>
          <w:kern w:val="2"/>
          <w:sz w:val="28"/>
          <w:szCs w:val="28"/>
          <w:highlight w:val="none"/>
          <w:lang w:val="en-US" w:eastAsia="zh-CN" w:bidi="ar-SA"/>
        </w:rPr>
        <w:t>2、质量指标：</w:t>
      </w:r>
    </w:p>
    <w:p>
      <w:pPr>
        <w:pStyle w:val="13"/>
        <w:widowControl/>
        <w:spacing w:before="40" w:beforeAutospacing="0" w:after="0" w:afterAutospacing="0" w:line="560" w:lineRule="exact"/>
        <w:ind w:firstLine="576" w:firstLineChars="212"/>
        <w:jc w:val="both"/>
        <w:rPr>
          <w:rStyle w:val="17"/>
          <w:rFonts w:hint="eastAsia" w:ascii="仿宋_GB2312" w:hAnsi="宋体" w:eastAsia="仿宋_GB2312" w:cstheme="minorBidi"/>
          <w:b w:val="0"/>
          <w:bCs w:val="0"/>
          <w:spacing w:val="-4"/>
          <w:kern w:val="2"/>
          <w:sz w:val="28"/>
          <w:szCs w:val="28"/>
          <w:highlight w:val="none"/>
          <w:lang w:val="en-US" w:eastAsia="zh-CN" w:bidi="ar-SA"/>
        </w:rPr>
      </w:pPr>
      <w:r>
        <w:rPr>
          <w:rStyle w:val="17"/>
          <w:rFonts w:hint="eastAsia" w:ascii="仿宋_GB2312" w:hAnsi="宋体" w:eastAsia="仿宋_GB2312" w:cstheme="minorBidi"/>
          <w:b w:val="0"/>
          <w:bCs w:val="0"/>
          <w:spacing w:val="-4"/>
          <w:kern w:val="2"/>
          <w:sz w:val="28"/>
          <w:szCs w:val="28"/>
          <w:highlight w:val="none"/>
          <w:lang w:val="en-US" w:eastAsia="zh-CN" w:bidi="ar-SA"/>
        </w:rPr>
        <w:t>指标1：工资及公用经费保障率，指标值：=100%，实际完成值：100%，指标完成率100%；</w:t>
      </w:r>
    </w:p>
    <w:p>
      <w:pPr>
        <w:pStyle w:val="13"/>
        <w:widowControl/>
        <w:spacing w:before="40" w:beforeAutospacing="0" w:after="0" w:afterAutospacing="0" w:line="560" w:lineRule="exact"/>
        <w:ind w:firstLine="576" w:firstLineChars="212"/>
        <w:jc w:val="both"/>
        <w:rPr>
          <w:rStyle w:val="17"/>
          <w:rFonts w:hint="eastAsia" w:ascii="仿宋_GB2312" w:hAnsi="宋体" w:eastAsia="仿宋_GB2312" w:cstheme="minorBidi"/>
          <w:b w:val="0"/>
          <w:bCs w:val="0"/>
          <w:spacing w:val="-4"/>
          <w:kern w:val="2"/>
          <w:sz w:val="28"/>
          <w:szCs w:val="28"/>
          <w:highlight w:val="none"/>
          <w:lang w:val="en-US" w:eastAsia="zh-CN" w:bidi="ar-SA"/>
        </w:rPr>
      </w:pPr>
      <w:r>
        <w:rPr>
          <w:rStyle w:val="17"/>
          <w:rFonts w:hint="eastAsia" w:ascii="仿宋_GB2312" w:hAnsi="宋体" w:eastAsia="仿宋_GB2312" w:cstheme="minorBidi"/>
          <w:b w:val="0"/>
          <w:bCs w:val="0"/>
          <w:spacing w:val="-4"/>
          <w:kern w:val="2"/>
          <w:sz w:val="28"/>
          <w:szCs w:val="28"/>
          <w:highlight w:val="none"/>
          <w:lang w:val="en-US" w:eastAsia="zh-CN" w:bidi="ar-SA"/>
        </w:rPr>
        <w:t>3、时效指标：</w:t>
      </w:r>
    </w:p>
    <w:p>
      <w:pPr>
        <w:pStyle w:val="13"/>
        <w:widowControl/>
        <w:spacing w:before="40" w:beforeAutospacing="0" w:after="0" w:afterAutospacing="0" w:line="560" w:lineRule="exact"/>
        <w:ind w:firstLine="576" w:firstLineChars="212"/>
        <w:jc w:val="both"/>
        <w:rPr>
          <w:rStyle w:val="17"/>
          <w:rFonts w:hint="eastAsia" w:ascii="仿宋_GB2312" w:hAnsi="宋体" w:eastAsia="仿宋_GB2312" w:cstheme="minorBidi"/>
          <w:b w:val="0"/>
          <w:bCs w:val="0"/>
          <w:spacing w:val="-4"/>
          <w:kern w:val="2"/>
          <w:sz w:val="28"/>
          <w:szCs w:val="28"/>
          <w:highlight w:val="none"/>
          <w:lang w:val="en-US" w:eastAsia="zh-CN" w:bidi="ar-SA"/>
        </w:rPr>
      </w:pPr>
      <w:r>
        <w:rPr>
          <w:rStyle w:val="17"/>
          <w:rFonts w:hint="eastAsia" w:ascii="仿宋_GB2312" w:hAnsi="宋体" w:eastAsia="仿宋_GB2312" w:cstheme="minorBidi"/>
          <w:b w:val="0"/>
          <w:bCs w:val="0"/>
          <w:spacing w:val="-4"/>
          <w:kern w:val="2"/>
          <w:sz w:val="28"/>
          <w:szCs w:val="28"/>
          <w:highlight w:val="none"/>
          <w:lang w:val="en-US" w:eastAsia="zh-CN" w:bidi="ar-SA"/>
        </w:rPr>
        <w:t>指标1：资金发放及时性，=100%，实际完成值：100%，指标完成率100%；</w:t>
      </w:r>
    </w:p>
    <w:p>
      <w:pPr>
        <w:pStyle w:val="13"/>
        <w:widowControl/>
        <w:spacing w:before="40" w:beforeAutospacing="0" w:after="0" w:afterAutospacing="0" w:line="560" w:lineRule="exact"/>
        <w:ind w:firstLine="576" w:firstLineChars="212"/>
        <w:jc w:val="both"/>
        <w:rPr>
          <w:rStyle w:val="17"/>
          <w:rFonts w:hint="eastAsia" w:ascii="仿宋_GB2312" w:hAnsi="宋体" w:eastAsia="仿宋_GB2312" w:cstheme="minorBidi"/>
          <w:b w:val="0"/>
          <w:bCs w:val="0"/>
          <w:spacing w:val="-4"/>
          <w:kern w:val="2"/>
          <w:sz w:val="28"/>
          <w:szCs w:val="28"/>
          <w:highlight w:val="none"/>
          <w:lang w:val="en-US" w:eastAsia="zh-CN" w:bidi="ar-SA"/>
        </w:rPr>
      </w:pPr>
      <w:r>
        <w:rPr>
          <w:rStyle w:val="17"/>
          <w:rFonts w:hint="eastAsia" w:ascii="仿宋_GB2312" w:hAnsi="宋体" w:eastAsia="仿宋_GB2312" w:cstheme="minorBidi"/>
          <w:b w:val="0"/>
          <w:bCs w:val="0"/>
          <w:spacing w:val="-4"/>
          <w:kern w:val="2"/>
          <w:sz w:val="28"/>
          <w:szCs w:val="28"/>
          <w:highlight w:val="none"/>
          <w:lang w:val="en-US" w:eastAsia="zh-CN" w:bidi="ar-SA"/>
        </w:rPr>
        <w:t>4、成本指标：</w:t>
      </w:r>
    </w:p>
    <w:p>
      <w:pPr>
        <w:pStyle w:val="13"/>
        <w:widowControl/>
        <w:spacing w:before="40" w:beforeAutospacing="0" w:after="0" w:afterAutospacing="0" w:line="560" w:lineRule="exact"/>
        <w:ind w:firstLine="576" w:firstLineChars="212"/>
        <w:jc w:val="both"/>
        <w:rPr>
          <w:rStyle w:val="17"/>
          <w:rFonts w:hint="eastAsia" w:ascii="仿宋_GB2312" w:hAnsi="宋体" w:eastAsia="仿宋_GB2312" w:cstheme="minorBidi"/>
          <w:b w:val="0"/>
          <w:bCs w:val="0"/>
          <w:spacing w:val="-4"/>
          <w:kern w:val="2"/>
          <w:sz w:val="28"/>
          <w:szCs w:val="28"/>
          <w:highlight w:val="none"/>
          <w:lang w:val="en-US" w:eastAsia="zh-CN" w:bidi="ar-SA"/>
        </w:rPr>
      </w:pPr>
      <w:r>
        <w:rPr>
          <w:rStyle w:val="17"/>
          <w:rFonts w:hint="eastAsia" w:ascii="仿宋_GB2312" w:hAnsi="宋体" w:eastAsia="仿宋_GB2312" w:cstheme="minorBidi"/>
          <w:b w:val="0"/>
          <w:bCs w:val="0"/>
          <w:spacing w:val="-4"/>
          <w:kern w:val="2"/>
          <w:sz w:val="28"/>
          <w:szCs w:val="28"/>
          <w:highlight w:val="none"/>
          <w:lang w:val="en-US" w:eastAsia="zh-CN" w:bidi="ar-SA"/>
        </w:rPr>
        <w:t>指标1：保障人员人均支出标准，指标值：≤124496.83元/人/年，实际完成值：124496.83元/人/年，指标完成率100%；</w:t>
      </w:r>
    </w:p>
    <w:p>
      <w:pPr>
        <w:pStyle w:val="13"/>
        <w:widowControl/>
        <w:spacing w:before="40" w:beforeAutospacing="0" w:after="0" w:afterAutospacing="0" w:line="560" w:lineRule="exact"/>
        <w:ind w:firstLine="576" w:firstLineChars="212"/>
        <w:jc w:val="both"/>
        <w:rPr>
          <w:rStyle w:val="17"/>
          <w:rFonts w:hint="eastAsia" w:ascii="仿宋_GB2312" w:hAnsi="宋体" w:eastAsia="仿宋_GB2312" w:cstheme="minorBidi"/>
          <w:b w:val="0"/>
          <w:bCs w:val="0"/>
          <w:spacing w:val="-4"/>
          <w:kern w:val="2"/>
          <w:sz w:val="28"/>
          <w:szCs w:val="28"/>
          <w:highlight w:val="none"/>
          <w:lang w:val="en-US" w:eastAsia="zh-CN" w:bidi="ar-SA"/>
        </w:rPr>
      </w:pPr>
      <w:r>
        <w:rPr>
          <w:rStyle w:val="17"/>
          <w:rFonts w:hint="eastAsia" w:ascii="仿宋_GB2312" w:hAnsi="宋体" w:eastAsia="仿宋_GB2312" w:cstheme="minorBidi"/>
          <w:b w:val="0"/>
          <w:bCs w:val="0"/>
          <w:spacing w:val="-4"/>
          <w:kern w:val="2"/>
          <w:sz w:val="28"/>
          <w:szCs w:val="28"/>
          <w:highlight w:val="none"/>
          <w:lang w:val="en-US" w:eastAsia="zh-CN" w:bidi="ar-SA"/>
        </w:rPr>
        <w:t>指标2：退休人员计生奖励，指标值：≤1607元/人/年，实际完成值： 1607元/人/年，指标完成率100%；</w:t>
      </w:r>
    </w:p>
    <w:p>
      <w:pPr>
        <w:pStyle w:val="13"/>
        <w:widowControl/>
        <w:spacing w:before="40" w:beforeAutospacing="0" w:after="0" w:afterAutospacing="0" w:line="560" w:lineRule="exact"/>
        <w:ind w:firstLine="576" w:firstLineChars="212"/>
        <w:jc w:val="both"/>
        <w:rPr>
          <w:rStyle w:val="17"/>
          <w:rFonts w:hint="eastAsia" w:ascii="仿宋_GB2312" w:hAnsi="宋体" w:eastAsia="仿宋_GB2312" w:cstheme="minorBidi"/>
          <w:b w:val="0"/>
          <w:bCs w:val="0"/>
          <w:spacing w:val="-4"/>
          <w:kern w:val="2"/>
          <w:sz w:val="28"/>
          <w:szCs w:val="28"/>
          <w:highlight w:val="none"/>
          <w:lang w:val="en-US" w:eastAsia="zh-CN" w:bidi="ar-SA"/>
        </w:rPr>
      </w:pPr>
      <w:r>
        <w:rPr>
          <w:rStyle w:val="17"/>
          <w:rFonts w:hint="eastAsia" w:ascii="仿宋_GB2312" w:hAnsi="宋体" w:eastAsia="仿宋_GB2312" w:cstheme="minorBidi"/>
          <w:b w:val="0"/>
          <w:bCs w:val="0"/>
          <w:spacing w:val="-4"/>
          <w:kern w:val="2"/>
          <w:sz w:val="28"/>
          <w:szCs w:val="28"/>
          <w:highlight w:val="none"/>
          <w:lang w:val="en-US" w:eastAsia="zh-CN" w:bidi="ar-SA"/>
        </w:rPr>
        <w:t>指标3：采暖补贴，指标值：≤1300元/人/年，实际完成值： 1300元/人/年，指标完成率100%；</w:t>
      </w:r>
    </w:p>
    <w:p>
      <w:pPr>
        <w:pStyle w:val="13"/>
        <w:widowControl/>
        <w:spacing w:before="40" w:beforeAutospacing="0" w:after="0" w:afterAutospacing="0" w:line="560" w:lineRule="exact"/>
        <w:ind w:firstLine="576" w:firstLineChars="212"/>
        <w:jc w:val="both"/>
        <w:rPr>
          <w:rStyle w:val="17"/>
          <w:rFonts w:hint="eastAsia" w:ascii="仿宋_GB2312" w:hAnsi="宋体" w:eastAsia="仿宋_GB2312" w:cstheme="minorBidi"/>
          <w:b w:val="0"/>
          <w:bCs w:val="0"/>
          <w:spacing w:val="-4"/>
          <w:kern w:val="2"/>
          <w:sz w:val="28"/>
          <w:szCs w:val="28"/>
          <w:highlight w:val="none"/>
          <w:lang w:val="en-US" w:eastAsia="zh-CN" w:bidi="ar-SA"/>
        </w:rPr>
      </w:pPr>
      <w:r>
        <w:rPr>
          <w:rStyle w:val="17"/>
          <w:rFonts w:hint="eastAsia" w:ascii="仿宋_GB2312" w:hAnsi="宋体" w:eastAsia="仿宋_GB2312" w:cstheme="minorBidi"/>
          <w:b w:val="0"/>
          <w:bCs w:val="0"/>
          <w:spacing w:val="-4"/>
          <w:kern w:val="2"/>
          <w:sz w:val="28"/>
          <w:szCs w:val="28"/>
          <w:highlight w:val="none"/>
          <w:lang w:val="en-US" w:eastAsia="zh-CN" w:bidi="ar-SA"/>
        </w:rPr>
        <w:t>指标4：遗属补助，指标值：≤4440元/人/年，实际完成值：4440元/人/年，指标完成率100%；</w:t>
      </w:r>
    </w:p>
    <w:p>
      <w:pPr>
        <w:pStyle w:val="13"/>
        <w:widowControl/>
        <w:spacing w:before="40" w:beforeAutospacing="0" w:after="0" w:afterAutospacing="0" w:line="560" w:lineRule="exact"/>
        <w:ind w:firstLine="576" w:firstLineChars="212"/>
        <w:jc w:val="both"/>
        <w:rPr>
          <w:rStyle w:val="17"/>
          <w:rFonts w:hint="eastAsia" w:ascii="仿宋_GB2312" w:hAnsi="宋体" w:eastAsia="仿宋_GB2312" w:cstheme="minorBidi"/>
          <w:b w:val="0"/>
          <w:bCs w:val="0"/>
          <w:spacing w:val="-4"/>
          <w:kern w:val="2"/>
          <w:sz w:val="28"/>
          <w:szCs w:val="28"/>
          <w:highlight w:val="none"/>
          <w:lang w:val="en-US" w:eastAsia="zh-CN" w:bidi="ar-SA"/>
        </w:rPr>
      </w:pPr>
      <w:r>
        <w:rPr>
          <w:rStyle w:val="17"/>
          <w:rFonts w:hint="eastAsia" w:ascii="仿宋_GB2312" w:hAnsi="宋体" w:eastAsia="仿宋_GB2312" w:cstheme="minorBidi"/>
          <w:b w:val="0"/>
          <w:bCs w:val="0"/>
          <w:spacing w:val="-4"/>
          <w:kern w:val="2"/>
          <w:sz w:val="28"/>
          <w:szCs w:val="28"/>
          <w:highlight w:val="none"/>
          <w:lang w:val="en-US" w:eastAsia="zh-CN" w:bidi="ar-SA"/>
        </w:rPr>
        <w:t>5、社会效益指标：</w:t>
      </w:r>
    </w:p>
    <w:p>
      <w:pPr>
        <w:pStyle w:val="13"/>
        <w:widowControl/>
        <w:spacing w:before="40" w:beforeAutospacing="0" w:after="0" w:afterAutospacing="0" w:line="560" w:lineRule="exact"/>
        <w:ind w:firstLine="576" w:firstLineChars="212"/>
        <w:jc w:val="both"/>
        <w:rPr>
          <w:rStyle w:val="17"/>
          <w:rFonts w:hint="eastAsia" w:ascii="仿宋_GB2312" w:hAnsi="宋体" w:eastAsia="仿宋_GB2312" w:cstheme="minorBidi"/>
          <w:b w:val="0"/>
          <w:bCs w:val="0"/>
          <w:spacing w:val="-4"/>
          <w:kern w:val="2"/>
          <w:sz w:val="28"/>
          <w:szCs w:val="28"/>
          <w:highlight w:val="none"/>
          <w:lang w:val="en-US" w:eastAsia="zh-CN" w:bidi="ar-SA"/>
        </w:rPr>
      </w:pPr>
      <w:r>
        <w:rPr>
          <w:rStyle w:val="17"/>
          <w:rFonts w:hint="eastAsia" w:ascii="仿宋_GB2312" w:hAnsi="宋体" w:eastAsia="仿宋_GB2312" w:cstheme="minorBidi"/>
          <w:b w:val="0"/>
          <w:bCs w:val="0"/>
          <w:spacing w:val="-4"/>
          <w:kern w:val="2"/>
          <w:sz w:val="28"/>
          <w:szCs w:val="28"/>
          <w:highlight w:val="none"/>
          <w:lang w:val="en-US" w:eastAsia="zh-CN" w:bidi="ar-SA"/>
        </w:rPr>
        <w:t>指标1：保证教学任务及时完成，指标值：有效保证 ，实际完成值：有效保证，指标完成率100%；</w:t>
      </w:r>
    </w:p>
    <w:p>
      <w:pPr>
        <w:pStyle w:val="13"/>
        <w:widowControl/>
        <w:spacing w:before="40" w:beforeAutospacing="0" w:after="0" w:afterAutospacing="0" w:line="560" w:lineRule="exact"/>
        <w:ind w:firstLine="576" w:firstLineChars="212"/>
        <w:jc w:val="both"/>
        <w:rPr>
          <w:rStyle w:val="17"/>
          <w:rFonts w:hint="eastAsia" w:ascii="仿宋_GB2312" w:hAnsi="宋体" w:eastAsia="仿宋_GB2312" w:cstheme="minorBidi"/>
          <w:b w:val="0"/>
          <w:bCs w:val="0"/>
          <w:spacing w:val="-4"/>
          <w:kern w:val="2"/>
          <w:sz w:val="28"/>
          <w:szCs w:val="28"/>
          <w:highlight w:val="none"/>
          <w:lang w:val="en-US" w:eastAsia="zh-CN" w:bidi="ar-SA"/>
        </w:rPr>
      </w:pPr>
      <w:r>
        <w:rPr>
          <w:rStyle w:val="17"/>
          <w:rFonts w:hint="eastAsia" w:ascii="仿宋_GB2312" w:hAnsi="宋体" w:eastAsia="仿宋_GB2312" w:cstheme="minorBidi"/>
          <w:b w:val="0"/>
          <w:bCs w:val="0"/>
          <w:spacing w:val="-4"/>
          <w:kern w:val="2"/>
          <w:sz w:val="28"/>
          <w:szCs w:val="28"/>
          <w:highlight w:val="none"/>
          <w:lang w:val="en-US" w:eastAsia="zh-CN" w:bidi="ar-SA"/>
        </w:rPr>
        <w:t>指标2：保证教师队伍稳定，指标值：有效保证，实际完成值：有效保证，指标完成率100%；</w:t>
      </w:r>
    </w:p>
    <w:p>
      <w:pPr>
        <w:pStyle w:val="13"/>
        <w:widowControl/>
        <w:spacing w:before="40" w:beforeAutospacing="0" w:after="0" w:afterAutospacing="0" w:line="560" w:lineRule="exact"/>
        <w:ind w:firstLine="576" w:firstLineChars="212"/>
        <w:jc w:val="both"/>
        <w:rPr>
          <w:rStyle w:val="17"/>
          <w:rFonts w:hint="eastAsia" w:ascii="仿宋_GB2312" w:hAnsi="宋体" w:eastAsia="仿宋_GB2312" w:cstheme="minorBidi"/>
          <w:b w:val="0"/>
          <w:bCs w:val="0"/>
          <w:spacing w:val="-4"/>
          <w:kern w:val="2"/>
          <w:sz w:val="28"/>
          <w:szCs w:val="28"/>
          <w:highlight w:val="none"/>
          <w:lang w:val="en-US" w:eastAsia="zh-CN" w:bidi="ar-SA"/>
        </w:rPr>
      </w:pPr>
      <w:r>
        <w:rPr>
          <w:rStyle w:val="17"/>
          <w:rFonts w:hint="eastAsia" w:ascii="仿宋_GB2312" w:hAnsi="宋体" w:eastAsia="仿宋_GB2312" w:cstheme="minorBidi"/>
          <w:b w:val="0"/>
          <w:bCs w:val="0"/>
          <w:spacing w:val="-4"/>
          <w:kern w:val="2"/>
          <w:sz w:val="28"/>
          <w:szCs w:val="28"/>
          <w:highlight w:val="none"/>
          <w:lang w:val="en-US" w:eastAsia="zh-CN" w:bidi="ar-SA"/>
        </w:rPr>
        <w:t>6、满意度指标：</w:t>
      </w:r>
    </w:p>
    <w:p>
      <w:pPr>
        <w:pStyle w:val="13"/>
        <w:widowControl/>
        <w:spacing w:before="40" w:beforeAutospacing="0" w:after="0" w:afterAutospacing="0" w:line="560" w:lineRule="exact"/>
        <w:ind w:firstLine="576" w:firstLineChars="212"/>
        <w:jc w:val="both"/>
        <w:rPr>
          <w:rStyle w:val="17"/>
          <w:rFonts w:hint="eastAsia" w:ascii="仿宋_GB2312" w:hAnsi="宋体" w:eastAsia="仿宋_GB2312" w:cstheme="minorBidi"/>
          <w:b w:val="0"/>
          <w:bCs w:val="0"/>
          <w:spacing w:val="-4"/>
          <w:kern w:val="2"/>
          <w:sz w:val="28"/>
          <w:szCs w:val="28"/>
          <w:highlight w:val="none"/>
          <w:lang w:val="en-US" w:eastAsia="zh-CN" w:bidi="ar-SA"/>
        </w:rPr>
      </w:pPr>
      <w:r>
        <w:rPr>
          <w:rStyle w:val="17"/>
          <w:rFonts w:hint="eastAsia" w:ascii="仿宋_GB2312" w:hAnsi="宋体" w:eastAsia="仿宋_GB2312" w:cstheme="minorBidi"/>
          <w:b w:val="0"/>
          <w:bCs w:val="0"/>
          <w:spacing w:val="-4"/>
          <w:kern w:val="2"/>
          <w:sz w:val="28"/>
          <w:szCs w:val="28"/>
          <w:highlight w:val="none"/>
          <w:lang w:val="en-US" w:eastAsia="zh-CN" w:bidi="ar-SA"/>
        </w:rPr>
        <w:t>指标1：教师满意度，指标值：≥95%，实际完成值：95%，指标完成率100%；</w:t>
      </w:r>
    </w:p>
    <w:p>
      <w:pPr>
        <w:pStyle w:val="13"/>
        <w:widowControl/>
        <w:spacing w:before="40" w:beforeAutospacing="0" w:after="0" w:afterAutospacing="0" w:line="560" w:lineRule="exact"/>
        <w:ind w:firstLine="576" w:firstLineChars="212"/>
        <w:jc w:val="both"/>
        <w:rPr>
          <w:rStyle w:val="17"/>
          <w:rFonts w:hint="eastAsia" w:ascii="仿宋_GB2312" w:hAnsi="宋体" w:eastAsia="仿宋_GB2312" w:cstheme="minorBidi"/>
          <w:b w:val="0"/>
          <w:bCs w:val="0"/>
          <w:spacing w:val="-4"/>
          <w:kern w:val="2"/>
          <w:sz w:val="28"/>
          <w:szCs w:val="28"/>
          <w:highlight w:val="none"/>
          <w:lang w:val="en-US" w:eastAsia="zh-CN" w:bidi="ar-SA"/>
        </w:rPr>
      </w:pPr>
      <w:r>
        <w:rPr>
          <w:rStyle w:val="17"/>
          <w:rFonts w:hint="eastAsia" w:ascii="仿宋_GB2312" w:hAnsi="宋体" w:eastAsia="仿宋_GB2312" w:cstheme="minorBidi"/>
          <w:b w:val="0"/>
          <w:bCs w:val="0"/>
          <w:spacing w:val="-4"/>
          <w:kern w:val="2"/>
          <w:sz w:val="28"/>
          <w:szCs w:val="28"/>
          <w:highlight w:val="none"/>
          <w:lang w:val="en-US" w:eastAsia="zh-CN" w:bidi="ar-SA"/>
        </w:rPr>
        <w:t>指标2：退休教师满意度，指标值：≥95%，实际完成值：95%，指标完成率100%。</w:t>
      </w:r>
    </w:p>
    <w:p>
      <w:pPr>
        <w:pStyle w:val="3"/>
        <w:spacing w:line="360" w:lineRule="auto"/>
        <w:rPr>
          <w:rFonts w:ascii="仿宋" w:hAnsi="仿宋" w:eastAsia="仿宋"/>
          <w:sz w:val="36"/>
          <w:szCs w:val="36"/>
          <w:lang w:bidi="ar"/>
        </w:rPr>
      </w:pPr>
      <w:bookmarkStart w:id="27" w:name="_Toc70450317"/>
      <w:r>
        <w:rPr>
          <w:rFonts w:hint="eastAsia" w:ascii="仿宋" w:hAnsi="仿宋" w:eastAsia="仿宋"/>
          <w:sz w:val="36"/>
          <w:szCs w:val="36"/>
          <w:lang w:bidi="ar"/>
        </w:rPr>
        <w:t>六、存在的主要问题</w:t>
      </w:r>
      <w:bookmarkEnd w:id="27"/>
    </w:p>
    <w:p>
      <w:pPr>
        <w:spacing w:line="360" w:lineRule="auto"/>
        <w:ind w:firstLine="640" w:firstLineChars="200"/>
        <w:jc w:val="left"/>
        <w:outlineLvl w:val="1"/>
        <w:rPr>
          <w:rFonts w:ascii="仿宋_GB2312" w:eastAsia="仿宋_GB2312" w:hAnsiTheme="majorEastAsia"/>
          <w:sz w:val="32"/>
          <w:szCs w:val="32"/>
        </w:rPr>
      </w:pPr>
      <w:r>
        <w:rPr>
          <w:rFonts w:hint="eastAsia" w:ascii="仿宋_GB2312" w:eastAsia="仿宋_GB2312" w:hAnsiTheme="majorEastAsia"/>
          <w:sz w:val="32"/>
          <w:szCs w:val="32"/>
        </w:rPr>
        <w:t>1、预算绩效管理观念淡薄，缺乏主动性。</w:t>
      </w:r>
    </w:p>
    <w:p>
      <w:pPr>
        <w:spacing w:line="360" w:lineRule="auto"/>
        <w:ind w:firstLine="640" w:firstLineChars="200"/>
        <w:jc w:val="left"/>
        <w:outlineLvl w:val="1"/>
        <w:rPr>
          <w:rFonts w:ascii="仿宋_GB2312" w:eastAsia="仿宋_GB2312" w:hAnsiTheme="majorEastAsia"/>
          <w:sz w:val="32"/>
          <w:szCs w:val="32"/>
        </w:rPr>
      </w:pPr>
      <w:r>
        <w:rPr>
          <w:rFonts w:hint="eastAsia" w:ascii="仿宋_GB2312" w:eastAsia="仿宋_GB2312" w:hAnsiTheme="majorEastAsia"/>
          <w:sz w:val="32"/>
          <w:szCs w:val="32"/>
        </w:rPr>
        <w:t>2、预算绩效管理的组织架构不够完善，缺乏统筹性。</w:t>
      </w:r>
    </w:p>
    <w:p>
      <w:pPr>
        <w:spacing w:line="360" w:lineRule="auto"/>
        <w:ind w:firstLine="640" w:firstLineChars="200"/>
        <w:jc w:val="left"/>
        <w:outlineLvl w:val="1"/>
        <w:rPr>
          <w:rFonts w:ascii="仿宋_GB2312" w:eastAsia="仿宋_GB2312" w:hAnsiTheme="majorEastAsia"/>
          <w:sz w:val="32"/>
          <w:szCs w:val="32"/>
        </w:rPr>
      </w:pPr>
      <w:r>
        <w:rPr>
          <w:rFonts w:hint="eastAsia" w:ascii="仿宋_GB2312" w:eastAsia="仿宋_GB2312" w:hAnsiTheme="majorEastAsia"/>
          <w:sz w:val="32"/>
          <w:szCs w:val="32"/>
        </w:rPr>
        <w:t>3、绩效型预算编制脱离实际，缺乏前瞻性。</w:t>
      </w:r>
    </w:p>
    <w:p>
      <w:pPr>
        <w:spacing w:line="360" w:lineRule="auto"/>
        <w:ind w:firstLine="640" w:firstLineChars="200"/>
        <w:jc w:val="left"/>
        <w:outlineLvl w:val="1"/>
        <w:rPr>
          <w:rFonts w:ascii="仿宋_GB2312" w:eastAsia="仿宋_GB2312" w:hAnsiTheme="majorEastAsia"/>
          <w:sz w:val="32"/>
          <w:szCs w:val="32"/>
        </w:rPr>
      </w:pPr>
      <w:r>
        <w:rPr>
          <w:rFonts w:hint="eastAsia" w:ascii="仿宋_GB2312" w:eastAsia="仿宋_GB2312" w:hAnsiTheme="majorEastAsia"/>
          <w:sz w:val="32"/>
          <w:szCs w:val="32"/>
        </w:rPr>
        <w:t>4、绩效型预算评价方法比较单一、简单，大都还是采用目标分析法、成本效益分析法等，主观因素判断占比较大，尚未主动尝试采用层次分析法等先进方法。</w:t>
      </w:r>
    </w:p>
    <w:p>
      <w:pPr>
        <w:pStyle w:val="3"/>
        <w:spacing w:line="360" w:lineRule="auto"/>
        <w:rPr>
          <w:rFonts w:ascii="仿宋" w:hAnsi="仿宋" w:eastAsia="仿宋"/>
          <w:sz w:val="36"/>
          <w:szCs w:val="36"/>
          <w:lang w:bidi="ar"/>
        </w:rPr>
      </w:pPr>
      <w:bookmarkStart w:id="28" w:name="_Toc70450318"/>
      <w:r>
        <w:rPr>
          <w:rFonts w:hint="eastAsia" w:ascii="仿宋" w:hAnsi="仿宋" w:eastAsia="仿宋"/>
          <w:sz w:val="36"/>
          <w:szCs w:val="36"/>
          <w:lang w:bidi="ar"/>
        </w:rPr>
        <w:t>七、改进措施和建议</w:t>
      </w:r>
      <w:bookmarkEnd w:id="28"/>
    </w:p>
    <w:p>
      <w:pPr>
        <w:pStyle w:val="4"/>
        <w:spacing w:line="360" w:lineRule="auto"/>
        <w:rPr>
          <w:rFonts w:ascii="仿宋" w:hAnsi="仿宋" w:eastAsia="仿宋"/>
        </w:rPr>
      </w:pPr>
      <w:bookmarkStart w:id="29" w:name="_Toc70450319"/>
      <w:r>
        <w:rPr>
          <w:rStyle w:val="17"/>
          <w:rFonts w:hint="eastAsia" w:ascii="仿宋" w:hAnsi="仿宋" w:eastAsia="仿宋"/>
          <w:b/>
          <w:bCs/>
        </w:rPr>
        <w:t>（一）改进措施</w:t>
      </w:r>
      <w:bookmarkEnd w:id="29"/>
    </w:p>
    <w:p>
      <w:pPr>
        <w:spacing w:line="360" w:lineRule="auto"/>
        <w:ind w:firstLine="640" w:firstLineChars="200"/>
        <w:jc w:val="left"/>
        <w:rPr>
          <w:rFonts w:ascii="仿宋_GB2312" w:eastAsia="仿宋_GB2312" w:hAnsiTheme="majorEastAsia"/>
          <w:sz w:val="32"/>
          <w:szCs w:val="32"/>
        </w:rPr>
      </w:pPr>
      <w:r>
        <w:rPr>
          <w:rFonts w:hint="eastAsia" w:ascii="仿宋_GB2312" w:eastAsia="仿宋_GB2312" w:hAnsiTheme="majorEastAsia"/>
          <w:sz w:val="32"/>
          <w:szCs w:val="32"/>
        </w:rPr>
        <w:t>1、加大宣传力度，强化预算绩效意识。</w:t>
      </w:r>
    </w:p>
    <w:p>
      <w:pPr>
        <w:spacing w:line="360" w:lineRule="auto"/>
        <w:ind w:firstLine="640" w:firstLineChars="200"/>
        <w:jc w:val="left"/>
        <w:rPr>
          <w:rFonts w:ascii="仿宋_GB2312" w:eastAsia="仿宋_GB2312" w:hAnsiTheme="majorEastAsia"/>
          <w:sz w:val="32"/>
          <w:szCs w:val="32"/>
        </w:rPr>
      </w:pPr>
      <w:r>
        <w:rPr>
          <w:rFonts w:hint="eastAsia" w:ascii="仿宋_GB2312" w:eastAsia="仿宋_GB2312" w:hAnsiTheme="majorEastAsia"/>
          <w:sz w:val="32"/>
          <w:szCs w:val="32"/>
        </w:rPr>
        <w:t>2、建立内部控制与预算绩效为核心的工作理念，紧密结合各部门的职能，明确各项分工。</w:t>
      </w:r>
    </w:p>
    <w:p>
      <w:pPr>
        <w:spacing w:line="360" w:lineRule="auto"/>
        <w:ind w:firstLine="640" w:firstLineChars="200"/>
        <w:jc w:val="left"/>
        <w:rPr>
          <w:rFonts w:ascii="仿宋_GB2312" w:eastAsia="仿宋_GB2312" w:hAnsiTheme="majorEastAsia"/>
          <w:sz w:val="32"/>
          <w:szCs w:val="32"/>
        </w:rPr>
      </w:pPr>
      <w:r>
        <w:rPr>
          <w:rFonts w:hint="eastAsia" w:ascii="仿宋_GB2312" w:eastAsia="仿宋_GB2312" w:hAnsiTheme="majorEastAsia"/>
          <w:sz w:val="32"/>
          <w:szCs w:val="32"/>
        </w:rPr>
        <w:t>3、建立以解决问题为导向、指向未来的预算绩效管理模式。</w:t>
      </w:r>
    </w:p>
    <w:p>
      <w:pPr>
        <w:pStyle w:val="4"/>
        <w:spacing w:line="360" w:lineRule="auto"/>
        <w:rPr>
          <w:rStyle w:val="17"/>
          <w:rFonts w:ascii="仿宋" w:hAnsi="仿宋" w:eastAsia="仿宋"/>
          <w:b/>
          <w:bCs/>
        </w:rPr>
      </w:pPr>
      <w:bookmarkStart w:id="30" w:name="_Toc70450320"/>
      <w:r>
        <w:rPr>
          <w:rStyle w:val="17"/>
          <w:rFonts w:hint="eastAsia" w:ascii="仿宋" w:hAnsi="仿宋" w:eastAsia="仿宋"/>
          <w:b/>
          <w:bCs/>
        </w:rPr>
        <w:t>（二）建议</w:t>
      </w:r>
      <w:bookmarkEnd w:id="30"/>
    </w:p>
    <w:p>
      <w:pPr>
        <w:spacing w:line="360" w:lineRule="auto"/>
        <w:ind w:firstLine="640" w:firstLineChars="200"/>
        <w:jc w:val="left"/>
        <w:rPr>
          <w:rFonts w:ascii="仿宋_GB2312" w:eastAsia="仿宋_GB2312" w:hAnsiTheme="majorEastAsia"/>
          <w:sz w:val="32"/>
          <w:szCs w:val="32"/>
        </w:rPr>
      </w:pPr>
      <w:r>
        <w:rPr>
          <w:rFonts w:hint="eastAsia" w:ascii="仿宋_GB2312" w:eastAsia="仿宋_GB2312" w:hAnsiTheme="majorEastAsia"/>
          <w:sz w:val="32"/>
          <w:szCs w:val="32"/>
        </w:rPr>
        <w:t>1、建立绩效评价结果与资金安排相互挂钩机制。</w:t>
      </w:r>
    </w:p>
    <w:p>
      <w:pPr>
        <w:spacing w:line="360" w:lineRule="auto"/>
        <w:ind w:firstLine="640" w:firstLineChars="200"/>
        <w:jc w:val="left"/>
        <w:rPr>
          <w:rFonts w:ascii="仿宋_GB2312" w:eastAsia="仿宋_GB2312" w:hAnsiTheme="majorEastAsia"/>
          <w:sz w:val="32"/>
          <w:szCs w:val="32"/>
        </w:rPr>
      </w:pPr>
      <w:r>
        <w:rPr>
          <w:rFonts w:hint="eastAsia" w:ascii="仿宋_GB2312" w:eastAsia="仿宋_GB2312" w:hAnsiTheme="majorEastAsia"/>
          <w:sz w:val="32"/>
          <w:szCs w:val="32"/>
        </w:rPr>
        <w:t>2、建立绩效评价结果反馈与整改相互结合机制。</w:t>
      </w:r>
    </w:p>
    <w:p>
      <w:pPr>
        <w:spacing w:line="360" w:lineRule="auto"/>
        <w:ind w:firstLine="640" w:firstLineChars="200"/>
        <w:jc w:val="left"/>
        <w:rPr>
          <w:rFonts w:ascii="仿宋_GB2312" w:eastAsia="仿宋_GB2312" w:hAnsiTheme="majorEastAsia"/>
          <w:sz w:val="32"/>
          <w:szCs w:val="32"/>
        </w:rPr>
      </w:pPr>
      <w:r>
        <w:rPr>
          <w:rFonts w:hint="eastAsia" w:ascii="仿宋_GB2312" w:eastAsia="仿宋_GB2312" w:hAnsiTheme="majorEastAsia"/>
          <w:sz w:val="32"/>
          <w:szCs w:val="32"/>
        </w:rPr>
        <w:t>3、建立绩效评价结果报告与通报相互结合机制。</w:t>
      </w:r>
    </w:p>
    <w:p>
      <w:pPr>
        <w:pStyle w:val="3"/>
        <w:spacing w:line="360" w:lineRule="auto"/>
        <w:rPr>
          <w:rStyle w:val="17"/>
          <w:rFonts w:ascii="仿宋" w:hAnsi="仿宋" w:eastAsia="仿宋"/>
          <w:b/>
          <w:bCs/>
          <w:sz w:val="36"/>
          <w:szCs w:val="36"/>
        </w:rPr>
      </w:pPr>
      <w:bookmarkStart w:id="31" w:name="_Toc70450321"/>
      <w:r>
        <w:rPr>
          <w:rStyle w:val="17"/>
          <w:rFonts w:hint="eastAsia" w:ascii="仿宋" w:hAnsi="仿宋" w:eastAsia="仿宋"/>
          <w:b/>
          <w:bCs/>
          <w:sz w:val="36"/>
          <w:szCs w:val="36"/>
        </w:rPr>
        <w:t>八、附表</w:t>
      </w:r>
      <w:r>
        <w:rPr>
          <w:rStyle w:val="17"/>
          <w:rFonts w:hint="eastAsia" w:ascii="仿宋" w:hAnsi="仿宋" w:eastAsia="仿宋"/>
          <w:b w:val="0"/>
          <w:bCs w:val="0"/>
          <w:spacing w:val="-4"/>
          <w:sz w:val="36"/>
          <w:szCs w:val="36"/>
        </w:rPr>
        <w:t>：</w:t>
      </w:r>
      <w:bookmarkStart w:id="32" w:name="_Hlk70450148"/>
      <w:r>
        <w:rPr>
          <w:rStyle w:val="17"/>
          <w:rFonts w:hint="eastAsia" w:ascii="仿宋" w:hAnsi="仿宋" w:eastAsia="仿宋"/>
          <w:b/>
          <w:bCs/>
          <w:sz w:val="36"/>
          <w:szCs w:val="36"/>
        </w:rPr>
        <w:t>《部门整体支出绩效目标自评表》</w:t>
      </w:r>
      <w:bookmarkEnd w:id="31"/>
      <w:bookmarkEnd w:id="32"/>
      <w:r>
        <w:rPr>
          <w:rStyle w:val="17"/>
          <w:rFonts w:hint="eastAsia" w:ascii="仿宋" w:hAnsi="仿宋" w:eastAsia="仿宋"/>
          <w:b/>
          <w:bCs/>
          <w:sz w:val="36"/>
          <w:szCs w:val="36"/>
        </w:rPr>
        <w:t>、</w:t>
      </w:r>
    </w:p>
    <w:tbl>
      <w:tblPr>
        <w:tblStyle w:val="15"/>
        <w:tblW w:w="9815" w:type="dxa"/>
        <w:tblInd w:w="93" w:type="dxa"/>
        <w:tblLayout w:type="autofit"/>
        <w:tblCellMar>
          <w:top w:w="0" w:type="dxa"/>
          <w:left w:w="108" w:type="dxa"/>
          <w:bottom w:w="0" w:type="dxa"/>
          <w:right w:w="108" w:type="dxa"/>
        </w:tblCellMar>
      </w:tblPr>
      <w:tblGrid>
        <w:gridCol w:w="460"/>
        <w:gridCol w:w="1160"/>
        <w:gridCol w:w="1939"/>
        <w:gridCol w:w="541"/>
        <w:gridCol w:w="1121"/>
        <w:gridCol w:w="908"/>
        <w:gridCol w:w="189"/>
        <w:gridCol w:w="544"/>
        <w:gridCol w:w="1121"/>
        <w:gridCol w:w="153"/>
        <w:gridCol w:w="927"/>
        <w:gridCol w:w="756"/>
      </w:tblGrid>
      <w:tr>
        <w:tblPrEx>
          <w:tblCellMar>
            <w:top w:w="0" w:type="dxa"/>
            <w:left w:w="108" w:type="dxa"/>
            <w:bottom w:w="0" w:type="dxa"/>
            <w:right w:w="108" w:type="dxa"/>
          </w:tblCellMar>
        </w:tblPrEx>
        <w:trPr>
          <w:trHeight w:val="615" w:hRule="atLeast"/>
        </w:trPr>
        <w:tc>
          <w:tcPr>
            <w:tcW w:w="9815" w:type="dxa"/>
            <w:gridSpan w:val="12"/>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32"/>
                <w:szCs w:val="32"/>
              </w:rPr>
            </w:pPr>
            <w:r>
              <w:rPr>
                <w:rFonts w:hint="eastAsia" w:ascii="宋体" w:hAnsi="宋体" w:eastAsia="宋体" w:cs="宋体"/>
                <w:b/>
                <w:bCs/>
                <w:kern w:val="0"/>
                <w:sz w:val="32"/>
                <w:szCs w:val="32"/>
              </w:rPr>
              <w:t>部门整体支出绩效目标自评表</w:t>
            </w:r>
          </w:p>
        </w:tc>
      </w:tr>
      <w:tr>
        <w:tblPrEx>
          <w:tblCellMar>
            <w:top w:w="0" w:type="dxa"/>
            <w:left w:w="108" w:type="dxa"/>
            <w:bottom w:w="0" w:type="dxa"/>
            <w:right w:w="108" w:type="dxa"/>
          </w:tblCellMar>
        </w:tblPrEx>
        <w:trPr>
          <w:trHeight w:val="414" w:hRule="atLeast"/>
        </w:trPr>
        <w:tc>
          <w:tcPr>
            <w:tcW w:w="9815" w:type="dxa"/>
            <w:gridSpan w:val="12"/>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32"/>
                <w:szCs w:val="32"/>
              </w:rPr>
            </w:pPr>
            <w:r>
              <w:rPr>
                <w:rFonts w:hint="eastAsia" w:ascii="宋体" w:hAnsi="宋体" w:eastAsia="宋体" w:cs="宋体"/>
                <w:b/>
                <w:bCs/>
                <w:kern w:val="0"/>
                <w:sz w:val="20"/>
                <w:szCs w:val="20"/>
              </w:rPr>
              <w:t>(2021年)</w:t>
            </w:r>
          </w:p>
        </w:tc>
      </w:tr>
      <w:tr>
        <w:tblPrEx>
          <w:tblCellMar>
            <w:top w:w="0" w:type="dxa"/>
            <w:left w:w="108" w:type="dxa"/>
            <w:bottom w:w="0" w:type="dxa"/>
            <w:right w:w="108" w:type="dxa"/>
          </w:tblCellMar>
        </w:tblPrEx>
        <w:trPr>
          <w:trHeight w:val="304" w:hRule="atLeast"/>
        </w:trPr>
        <w:tc>
          <w:tcPr>
            <w:tcW w:w="162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部门（单位）名称</w:t>
            </w:r>
          </w:p>
        </w:tc>
        <w:tc>
          <w:tcPr>
            <w:tcW w:w="8195" w:type="dxa"/>
            <w:gridSpan w:val="10"/>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特克斯县第一中学</w:t>
            </w:r>
          </w:p>
        </w:tc>
      </w:tr>
      <w:tr>
        <w:tblPrEx>
          <w:tblCellMar>
            <w:top w:w="0" w:type="dxa"/>
            <w:left w:w="108" w:type="dxa"/>
            <w:bottom w:w="0" w:type="dxa"/>
            <w:right w:w="108" w:type="dxa"/>
          </w:tblCellMar>
        </w:tblPrEx>
        <w:trPr>
          <w:trHeight w:val="698" w:hRule="atLeast"/>
        </w:trPr>
        <w:tc>
          <w:tcPr>
            <w:tcW w:w="4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年度主要任务</w:t>
            </w:r>
          </w:p>
        </w:tc>
        <w:tc>
          <w:tcPr>
            <w:tcW w:w="11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任务名称</w:t>
            </w:r>
          </w:p>
        </w:tc>
        <w:tc>
          <w:tcPr>
            <w:tcW w:w="2500"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主要内容</w:t>
            </w:r>
          </w:p>
        </w:tc>
        <w:tc>
          <w:tcPr>
            <w:tcW w:w="2697"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预算金额（万元）</w:t>
            </w:r>
          </w:p>
        </w:tc>
        <w:tc>
          <w:tcPr>
            <w:tcW w:w="2998"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实际执行（万元）</w:t>
            </w:r>
          </w:p>
        </w:tc>
      </w:tr>
      <w:tr>
        <w:tblPrEx>
          <w:tblCellMar>
            <w:top w:w="0" w:type="dxa"/>
            <w:left w:w="108" w:type="dxa"/>
            <w:bottom w:w="0" w:type="dxa"/>
            <w:right w:w="108" w:type="dxa"/>
          </w:tblCellMar>
        </w:tblPrEx>
        <w:trPr>
          <w:trHeight w:val="698"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250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112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总额</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财政拨款</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其他资金</w:t>
            </w:r>
          </w:p>
        </w:tc>
        <w:tc>
          <w:tcPr>
            <w:tcW w:w="112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总额</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财政拨款</w:t>
            </w:r>
          </w:p>
        </w:tc>
        <w:tc>
          <w:tcPr>
            <w:tcW w:w="75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其他资金</w:t>
            </w:r>
          </w:p>
        </w:tc>
      </w:tr>
      <w:tr>
        <w:tblPrEx>
          <w:tblCellMar>
            <w:top w:w="0" w:type="dxa"/>
            <w:left w:w="108" w:type="dxa"/>
            <w:bottom w:w="0" w:type="dxa"/>
            <w:right w:w="108" w:type="dxa"/>
          </w:tblCellMar>
        </w:tblPrEx>
        <w:trPr>
          <w:trHeight w:val="660"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人员保障</w:t>
            </w:r>
          </w:p>
        </w:tc>
        <w:tc>
          <w:tcPr>
            <w:tcW w:w="250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用于保障部门单位人员发放工资福利支出及对个人和家庭补助</w:t>
            </w:r>
          </w:p>
        </w:tc>
        <w:tc>
          <w:tcPr>
            <w:tcW w:w="1121"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eastAsia="宋体" w:cs="宋体"/>
                <w:sz w:val="24"/>
              </w:rPr>
            </w:pPr>
            <w:r>
              <w:rPr>
                <w:rFonts w:hint="eastAsia"/>
              </w:rPr>
              <w:t>1483.28</w:t>
            </w:r>
          </w:p>
        </w:tc>
        <w:tc>
          <w:tcPr>
            <w:tcW w:w="816"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eastAsia="宋体" w:cs="宋体"/>
                <w:sz w:val="24"/>
              </w:rPr>
            </w:pPr>
            <w:r>
              <w:rPr>
                <w:rFonts w:hint="eastAsia"/>
              </w:rPr>
              <w:t>1483.3</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sz w:val="24"/>
              </w:rPr>
            </w:pPr>
            <w:r>
              <w:rPr>
                <w:rFonts w:hint="eastAsia"/>
              </w:rPr>
              <w:t>0</w:t>
            </w:r>
          </w:p>
        </w:tc>
        <w:tc>
          <w:tcPr>
            <w:tcW w:w="1121" w:type="dxa"/>
            <w:tcBorders>
              <w:top w:val="single" w:color="auto" w:sz="4" w:space="0"/>
              <w:left w:val="nil"/>
              <w:bottom w:val="single" w:color="auto" w:sz="4" w:space="0"/>
              <w:right w:val="single" w:color="auto" w:sz="4" w:space="0"/>
            </w:tcBorders>
            <w:shd w:val="clear" w:color="auto" w:fill="auto"/>
            <w:vAlign w:val="center"/>
          </w:tcPr>
          <w:p>
            <w:pPr>
              <w:jc w:val="center"/>
              <w:rPr>
                <w:rFonts w:hint="default" w:ascii="宋体" w:hAnsi="宋体" w:cs="宋体" w:eastAsiaTheme="minorEastAsia"/>
                <w:sz w:val="24"/>
                <w:lang w:val="en-US" w:eastAsia="zh-CN"/>
              </w:rPr>
            </w:pPr>
            <w:r>
              <w:rPr>
                <w:rFonts w:hint="eastAsia"/>
              </w:rPr>
              <w:t>1483.</w:t>
            </w:r>
            <w:r>
              <w:rPr>
                <w:rFonts w:hint="eastAsia"/>
                <w:lang w:val="en-US" w:eastAsia="zh-CN"/>
              </w:rPr>
              <w:t>28</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hint="default" w:ascii="宋体" w:hAnsi="宋体" w:cs="宋体" w:eastAsiaTheme="minorEastAsia"/>
                <w:sz w:val="24"/>
                <w:lang w:val="en-US" w:eastAsia="zh-CN"/>
              </w:rPr>
            </w:pPr>
            <w:r>
              <w:rPr>
                <w:rFonts w:hint="eastAsia"/>
              </w:rPr>
              <w:t>1483.</w:t>
            </w:r>
            <w:r>
              <w:rPr>
                <w:rFonts w:hint="eastAsia"/>
                <w:lang w:val="en-US" w:eastAsia="zh-CN"/>
              </w:rPr>
              <w:t>28</w:t>
            </w:r>
          </w:p>
        </w:tc>
        <w:tc>
          <w:tcPr>
            <w:tcW w:w="756"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b/>
                <w:bCs/>
                <w:sz w:val="20"/>
                <w:szCs w:val="20"/>
              </w:rPr>
            </w:pPr>
            <w:r>
              <w:rPr>
                <w:rFonts w:hint="eastAsia"/>
                <w:b/>
                <w:bCs/>
                <w:sz w:val="20"/>
                <w:szCs w:val="20"/>
              </w:rPr>
              <w:t>0</w:t>
            </w:r>
          </w:p>
        </w:tc>
      </w:tr>
      <w:tr>
        <w:tblPrEx>
          <w:tblCellMar>
            <w:top w:w="0" w:type="dxa"/>
            <w:left w:w="108" w:type="dxa"/>
            <w:bottom w:w="0" w:type="dxa"/>
            <w:right w:w="108" w:type="dxa"/>
          </w:tblCellMar>
        </w:tblPrEx>
        <w:trPr>
          <w:trHeight w:val="681"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运转保障</w:t>
            </w:r>
          </w:p>
        </w:tc>
        <w:tc>
          <w:tcPr>
            <w:tcW w:w="250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用于日常办公费、取暖费、三公经费、工会经费、福利费及其他商品和服务支出</w:t>
            </w:r>
          </w:p>
        </w:tc>
        <w:tc>
          <w:tcPr>
            <w:tcW w:w="1121"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eastAsia="宋体" w:cs="宋体"/>
                <w:sz w:val="24"/>
              </w:rPr>
            </w:pPr>
            <w:r>
              <w:rPr>
                <w:rFonts w:hint="eastAsia"/>
              </w:rPr>
              <w:t>24.57</w:t>
            </w:r>
          </w:p>
        </w:tc>
        <w:tc>
          <w:tcPr>
            <w:tcW w:w="816"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eastAsia="宋体" w:cs="宋体"/>
                <w:sz w:val="24"/>
              </w:rPr>
            </w:pPr>
            <w:r>
              <w:rPr>
                <w:rFonts w:hint="eastAsia"/>
              </w:rPr>
              <w:t>24.57</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sz w:val="24"/>
              </w:rPr>
            </w:pPr>
            <w:r>
              <w:rPr>
                <w:rFonts w:hint="eastAsia"/>
              </w:rPr>
              <w:t>0</w:t>
            </w:r>
          </w:p>
        </w:tc>
        <w:tc>
          <w:tcPr>
            <w:tcW w:w="1121"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sz w:val="24"/>
              </w:rPr>
            </w:pPr>
            <w:r>
              <w:rPr>
                <w:rFonts w:hint="eastAsia"/>
              </w:rPr>
              <w:t>24.57</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sz w:val="24"/>
              </w:rPr>
            </w:pPr>
            <w:r>
              <w:rPr>
                <w:rFonts w:hint="eastAsia"/>
              </w:rPr>
              <w:t>24.57</w:t>
            </w:r>
          </w:p>
        </w:tc>
        <w:tc>
          <w:tcPr>
            <w:tcW w:w="756"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b/>
                <w:bCs/>
                <w:sz w:val="20"/>
                <w:szCs w:val="20"/>
              </w:rPr>
            </w:pPr>
            <w:r>
              <w:rPr>
                <w:rFonts w:hint="eastAsia"/>
                <w:b/>
                <w:bCs/>
                <w:sz w:val="20"/>
                <w:szCs w:val="20"/>
              </w:rPr>
              <w:t>0</w:t>
            </w:r>
          </w:p>
        </w:tc>
      </w:tr>
      <w:tr>
        <w:tblPrEx>
          <w:tblCellMar>
            <w:top w:w="0" w:type="dxa"/>
            <w:left w:w="108" w:type="dxa"/>
            <w:bottom w:w="0" w:type="dxa"/>
            <w:right w:w="108" w:type="dxa"/>
          </w:tblCellMar>
        </w:tblPrEx>
        <w:trPr>
          <w:trHeight w:val="435"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366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金额合计</w:t>
            </w:r>
          </w:p>
        </w:tc>
        <w:tc>
          <w:tcPr>
            <w:tcW w:w="1121"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宋体" w:hAnsi="宋体" w:cs="宋体" w:eastAsiaTheme="minorEastAsia"/>
                <w:sz w:val="24"/>
                <w:lang w:eastAsia="zh-CN"/>
              </w:rPr>
            </w:pPr>
            <w:r>
              <w:rPr>
                <w:rFonts w:hint="eastAsia"/>
              </w:rPr>
              <w:t>1507.8</w:t>
            </w:r>
            <w:r>
              <w:rPr>
                <w:rFonts w:hint="eastAsia"/>
                <w:lang w:val="en-US" w:eastAsia="zh-CN"/>
              </w:rPr>
              <w:t>5</w:t>
            </w:r>
          </w:p>
        </w:tc>
        <w:tc>
          <w:tcPr>
            <w:tcW w:w="816"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宋体" w:hAnsi="宋体" w:cs="宋体" w:eastAsiaTheme="minorEastAsia"/>
                <w:sz w:val="24"/>
                <w:lang w:val="en-US" w:eastAsia="zh-CN"/>
              </w:rPr>
            </w:pPr>
            <w:r>
              <w:rPr>
                <w:rFonts w:hint="eastAsia"/>
              </w:rPr>
              <w:t>1507.8</w:t>
            </w:r>
            <w:r>
              <w:rPr>
                <w:rFonts w:hint="eastAsia"/>
                <w:lang w:val="en-US" w:eastAsia="zh-CN"/>
              </w:rPr>
              <w:t>5</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sz w:val="24"/>
              </w:rPr>
            </w:pPr>
            <w:r>
              <w:rPr>
                <w:rFonts w:hint="eastAsia"/>
              </w:rPr>
              <w:t>0</w:t>
            </w:r>
          </w:p>
        </w:tc>
        <w:tc>
          <w:tcPr>
            <w:tcW w:w="1121"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宋体" w:hAnsi="宋体" w:cs="宋体" w:eastAsiaTheme="minorEastAsia"/>
                <w:sz w:val="24"/>
                <w:lang w:val="en-US" w:eastAsia="zh-CN"/>
              </w:rPr>
            </w:pPr>
            <w:r>
              <w:rPr>
                <w:rFonts w:hint="eastAsia"/>
              </w:rPr>
              <w:t>1507.8</w:t>
            </w:r>
            <w:r>
              <w:rPr>
                <w:rFonts w:hint="eastAsia"/>
                <w:lang w:val="en-US" w:eastAsia="zh-CN"/>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hint="eastAsia" w:ascii="宋体" w:hAnsi="宋体" w:cs="宋体" w:eastAsiaTheme="minorEastAsia"/>
                <w:sz w:val="24"/>
                <w:lang w:val="en-US" w:eastAsia="zh-CN"/>
              </w:rPr>
            </w:pPr>
            <w:r>
              <w:rPr>
                <w:rFonts w:hint="eastAsia"/>
              </w:rPr>
              <w:t>1507.8</w:t>
            </w:r>
            <w:r>
              <w:rPr>
                <w:rFonts w:hint="eastAsia"/>
                <w:lang w:val="en-US" w:eastAsia="zh-CN"/>
              </w:rPr>
              <w:t>5</w:t>
            </w:r>
            <w:bookmarkStart w:id="33" w:name="_GoBack"/>
            <w:bookmarkEnd w:id="33"/>
          </w:p>
        </w:tc>
        <w:tc>
          <w:tcPr>
            <w:tcW w:w="756"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b/>
                <w:bCs/>
                <w:sz w:val="24"/>
              </w:rPr>
            </w:pPr>
            <w:r>
              <w:rPr>
                <w:rFonts w:hint="eastAsia"/>
                <w:b/>
                <w:bCs/>
              </w:rPr>
              <w:t>0</w:t>
            </w:r>
          </w:p>
        </w:tc>
      </w:tr>
      <w:tr>
        <w:tblPrEx>
          <w:tblCellMar>
            <w:top w:w="0" w:type="dxa"/>
            <w:left w:w="108" w:type="dxa"/>
            <w:bottom w:w="0" w:type="dxa"/>
            <w:right w:w="108" w:type="dxa"/>
          </w:tblCellMar>
        </w:tblPrEx>
        <w:trPr>
          <w:trHeight w:val="495" w:hRule="atLeast"/>
        </w:trPr>
        <w:tc>
          <w:tcPr>
            <w:tcW w:w="46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年度总体目标</w:t>
            </w:r>
          </w:p>
        </w:tc>
        <w:tc>
          <w:tcPr>
            <w:tcW w:w="4781"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预期目标</w:t>
            </w:r>
          </w:p>
        </w:tc>
        <w:tc>
          <w:tcPr>
            <w:tcW w:w="457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实际完成目标</w:t>
            </w:r>
          </w:p>
        </w:tc>
      </w:tr>
      <w:tr>
        <w:tblPrEx>
          <w:tblCellMar>
            <w:top w:w="0" w:type="dxa"/>
            <w:left w:w="108" w:type="dxa"/>
            <w:bottom w:w="0" w:type="dxa"/>
            <w:right w:w="108" w:type="dxa"/>
          </w:tblCellMar>
        </w:tblPrEx>
        <w:trPr>
          <w:trHeight w:val="1590" w:hRule="atLeast"/>
        </w:trPr>
        <w:tc>
          <w:tcPr>
            <w:tcW w:w="460" w:type="dxa"/>
            <w:vMerge w:val="continue"/>
            <w:tcBorders>
              <w:top w:val="nil"/>
              <w:left w:val="nil"/>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4781"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目标1：确保人员经费的合理分配。目标2：完成在职教师工资发放、按时完成社保、公积金缴纳。目标3：及时完成退休教师取暖费、计生奖励金的发放。目标4：完成每年教学任务。目5：全面推进各类教师能力提升培训，加强教师队伍建设。目标6：好教育教学管理工作。</w:t>
            </w:r>
          </w:p>
        </w:tc>
        <w:tc>
          <w:tcPr>
            <w:tcW w:w="457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完成人员经费的合理分配。完成在职教师工资发放、按时完成社保、公积金缴纳。及时完成退休教师取暖费、计生奖励金的发放。完成每年教学任务，完成全面推进各类教师能力提升培训，加强教师队伍建设。完成2021年各项教育教学管理工作。</w:t>
            </w:r>
          </w:p>
        </w:tc>
      </w:tr>
      <w:tr>
        <w:tblPrEx>
          <w:tblCellMar>
            <w:top w:w="0" w:type="dxa"/>
            <w:left w:w="108" w:type="dxa"/>
            <w:bottom w:w="0" w:type="dxa"/>
            <w:right w:w="108" w:type="dxa"/>
          </w:tblCellMar>
        </w:tblPrEx>
        <w:trPr>
          <w:trHeight w:val="900" w:hRule="atLeast"/>
        </w:trPr>
        <w:tc>
          <w:tcPr>
            <w:tcW w:w="4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年度绩效指标</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一级指标</w:t>
            </w:r>
          </w:p>
        </w:tc>
        <w:tc>
          <w:tcPr>
            <w:tcW w:w="19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二级指标</w:t>
            </w:r>
          </w:p>
        </w:tc>
        <w:tc>
          <w:tcPr>
            <w:tcW w:w="2693"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三级指标</w:t>
            </w: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color w:val="000000"/>
                <w:kern w:val="0"/>
                <w:sz w:val="16"/>
                <w:szCs w:val="16"/>
              </w:rPr>
            </w:pPr>
            <w:r>
              <w:rPr>
                <w:rFonts w:hint="eastAsia" w:ascii="宋体" w:hAnsi="宋体" w:eastAsia="宋体" w:cs="宋体"/>
                <w:b/>
                <w:bCs/>
                <w:color w:val="000000"/>
                <w:kern w:val="0"/>
                <w:sz w:val="16"/>
                <w:szCs w:val="16"/>
              </w:rPr>
              <w:t>预期指标值（包含数字及文字描述）</w:t>
            </w:r>
          </w:p>
        </w:tc>
        <w:tc>
          <w:tcPr>
            <w:tcW w:w="17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color w:val="000000"/>
                <w:kern w:val="0"/>
                <w:sz w:val="16"/>
                <w:szCs w:val="16"/>
              </w:rPr>
            </w:pPr>
            <w:r>
              <w:rPr>
                <w:rFonts w:hint="eastAsia" w:ascii="宋体" w:hAnsi="宋体" w:eastAsia="宋体" w:cs="宋体"/>
                <w:b/>
                <w:bCs/>
                <w:color w:val="000000"/>
                <w:kern w:val="0"/>
                <w:sz w:val="16"/>
                <w:szCs w:val="16"/>
              </w:rPr>
              <w:t>实际完成指标值（包含数字及文字描述）</w:t>
            </w:r>
          </w:p>
        </w:tc>
      </w:tr>
      <w:tr>
        <w:tblPrEx>
          <w:tblCellMar>
            <w:top w:w="0" w:type="dxa"/>
            <w:left w:w="108" w:type="dxa"/>
            <w:bottom w:w="0" w:type="dxa"/>
            <w:right w:w="108" w:type="dxa"/>
          </w:tblCellMar>
        </w:tblPrEx>
        <w:trPr>
          <w:trHeight w:val="270" w:hRule="atLeast"/>
        </w:trPr>
        <w:tc>
          <w:tcPr>
            <w:tcW w:w="460" w:type="dxa"/>
            <w:vMerge w:val="restart"/>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r>
              <w:rPr>
                <w:rFonts w:hint="eastAsia" w:ascii="宋体" w:hAnsi="宋体" w:eastAsia="宋体" w:cs="宋体"/>
                <w:b/>
                <w:bCs/>
                <w:kern w:val="0"/>
                <w:sz w:val="24"/>
              </w:rPr>
              <w:t>6</w:t>
            </w:r>
          </w:p>
        </w:tc>
        <w:tc>
          <w:tcPr>
            <w:tcW w:w="116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939"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693"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保障在职人员人数</w:t>
            </w: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=119人</w:t>
            </w:r>
          </w:p>
        </w:tc>
        <w:tc>
          <w:tcPr>
            <w:tcW w:w="1720" w:type="dxa"/>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1</w:t>
            </w:r>
            <w:r>
              <w:rPr>
                <w:sz w:val="18"/>
                <w:szCs w:val="18"/>
              </w:rPr>
              <w:t>19</w:t>
            </w:r>
            <w:r>
              <w:rPr>
                <w:rFonts w:hint="eastAsia"/>
                <w:sz w:val="18"/>
                <w:szCs w:val="18"/>
              </w:rPr>
              <w:t>人</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93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693"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退休人员数</w:t>
            </w: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=70人</w:t>
            </w:r>
          </w:p>
        </w:tc>
        <w:tc>
          <w:tcPr>
            <w:tcW w:w="1720" w:type="dxa"/>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7</w:t>
            </w:r>
            <w:r>
              <w:rPr>
                <w:sz w:val="18"/>
                <w:szCs w:val="18"/>
              </w:rPr>
              <w:t>0</w:t>
            </w:r>
            <w:r>
              <w:rPr>
                <w:rFonts w:hint="eastAsia"/>
                <w:sz w:val="18"/>
                <w:szCs w:val="18"/>
              </w:rPr>
              <w:t>人</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93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693"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保障补贴人员人数</w:t>
            </w: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=189人</w:t>
            </w:r>
          </w:p>
        </w:tc>
        <w:tc>
          <w:tcPr>
            <w:tcW w:w="1720" w:type="dxa"/>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sz w:val="18"/>
                <w:szCs w:val="18"/>
              </w:rPr>
              <w:t>189</w:t>
            </w:r>
            <w:r>
              <w:rPr>
                <w:rFonts w:hint="eastAsia"/>
                <w:sz w:val="18"/>
                <w:szCs w:val="18"/>
              </w:rPr>
              <w:t>人</w:t>
            </w:r>
          </w:p>
        </w:tc>
      </w:tr>
      <w:tr>
        <w:tblPrEx>
          <w:tblCellMar>
            <w:top w:w="0" w:type="dxa"/>
            <w:left w:w="108" w:type="dxa"/>
            <w:bottom w:w="0" w:type="dxa"/>
            <w:right w:w="108" w:type="dxa"/>
          </w:tblCellMar>
        </w:tblPrEx>
        <w:trPr>
          <w:trHeight w:val="45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93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693"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采暖面积</w:t>
            </w: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=29385.45平方米</w:t>
            </w:r>
          </w:p>
        </w:tc>
        <w:tc>
          <w:tcPr>
            <w:tcW w:w="1720" w:type="dxa"/>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29385.45平方米</w:t>
            </w:r>
          </w:p>
        </w:tc>
      </w:tr>
      <w:tr>
        <w:tblPrEx>
          <w:tblCellMar>
            <w:top w:w="0" w:type="dxa"/>
            <w:left w:w="108" w:type="dxa"/>
            <w:bottom w:w="0" w:type="dxa"/>
            <w:right w:w="108" w:type="dxa"/>
          </w:tblCellMar>
        </w:tblPrEx>
        <w:trPr>
          <w:trHeight w:val="375"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939" w:type="dxa"/>
            <w:tcBorders>
              <w:top w:val="nil"/>
              <w:left w:val="nil"/>
              <w:bottom w:val="nil"/>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693"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工资及公用经费保障率</w:t>
            </w: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=100%</w:t>
            </w:r>
          </w:p>
        </w:tc>
        <w:tc>
          <w:tcPr>
            <w:tcW w:w="1720" w:type="dxa"/>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100%</w:t>
            </w:r>
          </w:p>
        </w:tc>
      </w:tr>
      <w:tr>
        <w:tblPrEx>
          <w:tblCellMar>
            <w:top w:w="0" w:type="dxa"/>
            <w:left w:w="108" w:type="dxa"/>
            <w:bottom w:w="0" w:type="dxa"/>
            <w:right w:w="108" w:type="dxa"/>
          </w:tblCellMar>
        </w:tblPrEx>
        <w:trPr>
          <w:trHeight w:val="375"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939" w:type="dxa"/>
            <w:tcBorders>
              <w:top w:val="single" w:color="auto" w:sz="4" w:space="0"/>
              <w:left w:val="nil"/>
              <w:bottom w:val="nil"/>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693"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资金发放及时性</w:t>
            </w: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=100%</w:t>
            </w:r>
          </w:p>
        </w:tc>
        <w:tc>
          <w:tcPr>
            <w:tcW w:w="1720" w:type="dxa"/>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100%</w:t>
            </w:r>
          </w:p>
        </w:tc>
      </w:tr>
      <w:tr>
        <w:tblPrEx>
          <w:tblCellMar>
            <w:top w:w="0" w:type="dxa"/>
            <w:left w:w="108" w:type="dxa"/>
            <w:bottom w:w="0" w:type="dxa"/>
            <w:right w:w="108" w:type="dxa"/>
          </w:tblCellMar>
        </w:tblPrEx>
        <w:trPr>
          <w:trHeight w:val="45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939"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693"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保障人员人均支出标准</w:t>
            </w: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≤124496.83元/人/年</w:t>
            </w:r>
          </w:p>
        </w:tc>
        <w:tc>
          <w:tcPr>
            <w:tcW w:w="1720" w:type="dxa"/>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124496.83元/人/年</w:t>
            </w:r>
          </w:p>
        </w:tc>
      </w:tr>
      <w:tr>
        <w:tblPrEx>
          <w:tblCellMar>
            <w:top w:w="0" w:type="dxa"/>
            <w:left w:w="108" w:type="dxa"/>
            <w:bottom w:w="0" w:type="dxa"/>
            <w:right w:w="108" w:type="dxa"/>
          </w:tblCellMar>
        </w:tblPrEx>
        <w:trPr>
          <w:trHeight w:val="45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939"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693"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退休人员计生奖励</w:t>
            </w: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≤1607元/人/年</w:t>
            </w:r>
          </w:p>
        </w:tc>
        <w:tc>
          <w:tcPr>
            <w:tcW w:w="1720" w:type="dxa"/>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1607元/人/年</w:t>
            </w:r>
          </w:p>
        </w:tc>
      </w:tr>
      <w:tr>
        <w:tblPrEx>
          <w:tblCellMar>
            <w:top w:w="0" w:type="dxa"/>
            <w:left w:w="108" w:type="dxa"/>
            <w:bottom w:w="0" w:type="dxa"/>
            <w:right w:w="108" w:type="dxa"/>
          </w:tblCellMar>
        </w:tblPrEx>
        <w:trPr>
          <w:trHeight w:val="339"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939"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693"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采暖补贴</w:t>
            </w: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≤1300元/人/年</w:t>
            </w:r>
          </w:p>
        </w:tc>
        <w:tc>
          <w:tcPr>
            <w:tcW w:w="1720" w:type="dxa"/>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1300元/人/年</w:t>
            </w:r>
          </w:p>
        </w:tc>
      </w:tr>
      <w:tr>
        <w:tblPrEx>
          <w:tblCellMar>
            <w:top w:w="0" w:type="dxa"/>
            <w:left w:w="108" w:type="dxa"/>
            <w:bottom w:w="0" w:type="dxa"/>
            <w:right w:w="108" w:type="dxa"/>
          </w:tblCellMar>
        </w:tblPrEx>
        <w:trPr>
          <w:trHeight w:val="345"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939"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693"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遗属补助</w:t>
            </w: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≤4440元/人/年</w:t>
            </w:r>
          </w:p>
        </w:tc>
        <w:tc>
          <w:tcPr>
            <w:tcW w:w="1720" w:type="dxa"/>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4440元/人/年</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restart"/>
            <w:tcBorders>
              <w:top w:val="nil"/>
              <w:left w:val="single" w:color="auto" w:sz="4" w:space="0"/>
              <w:bottom w:val="nil"/>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939"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社会效益指标</w:t>
            </w:r>
          </w:p>
        </w:tc>
        <w:tc>
          <w:tcPr>
            <w:tcW w:w="2693"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保证教学任务及时完成</w:t>
            </w: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有效保证</w:t>
            </w:r>
          </w:p>
        </w:tc>
        <w:tc>
          <w:tcPr>
            <w:tcW w:w="1720" w:type="dxa"/>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有效保证</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kern w:val="0"/>
                <w:sz w:val="18"/>
                <w:szCs w:val="18"/>
              </w:rPr>
            </w:pPr>
          </w:p>
        </w:tc>
        <w:tc>
          <w:tcPr>
            <w:tcW w:w="193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693"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保证教师队伍稳定</w:t>
            </w: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有效保证</w:t>
            </w:r>
          </w:p>
        </w:tc>
        <w:tc>
          <w:tcPr>
            <w:tcW w:w="1720" w:type="dxa"/>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有效保证</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满意度指标</w:t>
            </w:r>
          </w:p>
        </w:tc>
        <w:tc>
          <w:tcPr>
            <w:tcW w:w="1939"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满意度指标</w:t>
            </w:r>
          </w:p>
        </w:tc>
        <w:tc>
          <w:tcPr>
            <w:tcW w:w="2693"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教师满意度</w:t>
            </w: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≥95%</w:t>
            </w:r>
          </w:p>
        </w:tc>
        <w:tc>
          <w:tcPr>
            <w:tcW w:w="1720" w:type="dxa"/>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95%</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193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693"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退休教师满意度</w:t>
            </w:r>
          </w:p>
        </w:tc>
        <w:tc>
          <w:tcPr>
            <w:tcW w:w="1843" w:type="dxa"/>
            <w:gridSpan w:val="3"/>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≥95%</w:t>
            </w:r>
          </w:p>
        </w:tc>
        <w:tc>
          <w:tcPr>
            <w:tcW w:w="1720" w:type="dxa"/>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sz w:val="18"/>
                <w:szCs w:val="18"/>
              </w:rPr>
            </w:pPr>
            <w:r>
              <w:rPr>
                <w:rFonts w:hint="eastAsia"/>
                <w:sz w:val="18"/>
                <w:szCs w:val="18"/>
              </w:rPr>
              <w:t>95%</w:t>
            </w:r>
          </w:p>
        </w:tc>
      </w:tr>
    </w:tbl>
    <w:p>
      <w:pPr>
        <w:spacing w:line="360" w:lineRule="auto"/>
        <w:ind w:firstLine="640" w:firstLineChars="200"/>
        <w:jc w:val="left"/>
        <w:rPr>
          <w:rFonts w:ascii="仿宋_GB2312" w:eastAsia="仿宋_GB2312" w:hAnsiTheme="majorEastAsia"/>
          <w:sz w:val="32"/>
          <w:szCs w:val="32"/>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sdtPr>
    <w:sdtEndPr>
      <w:rPr>
        <w:rFonts w:asciiTheme="minorEastAsia" w:hAnsiTheme="minorEastAsia"/>
        <w:sz w:val="28"/>
        <w:szCs w:val="28"/>
      </w:rPr>
    </w:sdtEndPr>
    <w:sdtContent>
      <w:p>
        <w:pPr>
          <w:pStyle w:val="8"/>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12 -</w:t>
        </w:r>
        <w:r>
          <w:rPr>
            <w:rFonts w:asciiTheme="minorEastAsia" w:hAnsiTheme="minorEastAsia"/>
            <w:sz w:val="28"/>
            <w:szCs w:val="28"/>
          </w:rP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699945"/>
    <w:multiLevelType w:val="singleLevel"/>
    <w:tmpl w:val="9C69994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DZlYmI5MDk0MTg0NGQ5YjU3MzZhZWMwZGE3NjIifQ=="/>
  </w:docVars>
  <w:rsids>
    <w:rsidRoot w:val="00633862"/>
    <w:rsid w:val="00025A44"/>
    <w:rsid w:val="000376C8"/>
    <w:rsid w:val="00072084"/>
    <w:rsid w:val="0009422A"/>
    <w:rsid w:val="000B6B13"/>
    <w:rsid w:val="000C4FEE"/>
    <w:rsid w:val="000D1DEE"/>
    <w:rsid w:val="000D3AFA"/>
    <w:rsid w:val="00105D60"/>
    <w:rsid w:val="001121F2"/>
    <w:rsid w:val="00112859"/>
    <w:rsid w:val="001173EB"/>
    <w:rsid w:val="001428E0"/>
    <w:rsid w:val="00150C4C"/>
    <w:rsid w:val="00191BA3"/>
    <w:rsid w:val="001A2299"/>
    <w:rsid w:val="001A3A0E"/>
    <w:rsid w:val="001E7886"/>
    <w:rsid w:val="001F630E"/>
    <w:rsid w:val="00205ABC"/>
    <w:rsid w:val="0022744B"/>
    <w:rsid w:val="00234372"/>
    <w:rsid w:val="00234B37"/>
    <w:rsid w:val="00246941"/>
    <w:rsid w:val="002553DC"/>
    <w:rsid w:val="002764C7"/>
    <w:rsid w:val="00277120"/>
    <w:rsid w:val="002A102C"/>
    <w:rsid w:val="002B7357"/>
    <w:rsid w:val="002D075E"/>
    <w:rsid w:val="00303A08"/>
    <w:rsid w:val="003226C4"/>
    <w:rsid w:val="00382109"/>
    <w:rsid w:val="0039631D"/>
    <w:rsid w:val="003E3DEF"/>
    <w:rsid w:val="003E7C70"/>
    <w:rsid w:val="0049337C"/>
    <w:rsid w:val="004C4C4D"/>
    <w:rsid w:val="004C6FF3"/>
    <w:rsid w:val="004D6CF6"/>
    <w:rsid w:val="004E69F5"/>
    <w:rsid w:val="004E7AAC"/>
    <w:rsid w:val="004F3EA9"/>
    <w:rsid w:val="00531A31"/>
    <w:rsid w:val="00533C6C"/>
    <w:rsid w:val="005359D3"/>
    <w:rsid w:val="00546768"/>
    <w:rsid w:val="00555C10"/>
    <w:rsid w:val="00593943"/>
    <w:rsid w:val="005A08A8"/>
    <w:rsid w:val="005B1250"/>
    <w:rsid w:val="005C33CE"/>
    <w:rsid w:val="005F4BD9"/>
    <w:rsid w:val="006225D7"/>
    <w:rsid w:val="00633862"/>
    <w:rsid w:val="006379B7"/>
    <w:rsid w:val="006413B6"/>
    <w:rsid w:val="00663B66"/>
    <w:rsid w:val="006774B2"/>
    <w:rsid w:val="006910A7"/>
    <w:rsid w:val="00691310"/>
    <w:rsid w:val="006A415C"/>
    <w:rsid w:val="006A7181"/>
    <w:rsid w:val="006C5BED"/>
    <w:rsid w:val="006D3947"/>
    <w:rsid w:val="00702D4A"/>
    <w:rsid w:val="007115C8"/>
    <w:rsid w:val="00713ADC"/>
    <w:rsid w:val="00717EFD"/>
    <w:rsid w:val="00725B9A"/>
    <w:rsid w:val="00754721"/>
    <w:rsid w:val="007713F8"/>
    <w:rsid w:val="007A7491"/>
    <w:rsid w:val="007A7874"/>
    <w:rsid w:val="007E23B1"/>
    <w:rsid w:val="007F6FAE"/>
    <w:rsid w:val="00800784"/>
    <w:rsid w:val="00817432"/>
    <w:rsid w:val="008614D8"/>
    <w:rsid w:val="00875327"/>
    <w:rsid w:val="00886879"/>
    <w:rsid w:val="008875A1"/>
    <w:rsid w:val="00890FC2"/>
    <w:rsid w:val="008E3F8A"/>
    <w:rsid w:val="00923468"/>
    <w:rsid w:val="00952782"/>
    <w:rsid w:val="0095580D"/>
    <w:rsid w:val="0097614B"/>
    <w:rsid w:val="00992D45"/>
    <w:rsid w:val="009A10CC"/>
    <w:rsid w:val="009A1625"/>
    <w:rsid w:val="009A32D3"/>
    <w:rsid w:val="009E5FF8"/>
    <w:rsid w:val="009F06F4"/>
    <w:rsid w:val="009F2ABD"/>
    <w:rsid w:val="00A05135"/>
    <w:rsid w:val="00A2396A"/>
    <w:rsid w:val="00A41399"/>
    <w:rsid w:val="00A43D21"/>
    <w:rsid w:val="00A55238"/>
    <w:rsid w:val="00A64B09"/>
    <w:rsid w:val="00AA19F1"/>
    <w:rsid w:val="00AA5126"/>
    <w:rsid w:val="00AC4471"/>
    <w:rsid w:val="00AD16CD"/>
    <w:rsid w:val="00AD1EC1"/>
    <w:rsid w:val="00AF42EB"/>
    <w:rsid w:val="00B130FE"/>
    <w:rsid w:val="00B34A48"/>
    <w:rsid w:val="00B34F85"/>
    <w:rsid w:val="00B407C3"/>
    <w:rsid w:val="00B666A1"/>
    <w:rsid w:val="00B80FA7"/>
    <w:rsid w:val="00B91294"/>
    <w:rsid w:val="00BA1454"/>
    <w:rsid w:val="00C16942"/>
    <w:rsid w:val="00C42609"/>
    <w:rsid w:val="00C4673D"/>
    <w:rsid w:val="00C76454"/>
    <w:rsid w:val="00C81F75"/>
    <w:rsid w:val="00C96B0E"/>
    <w:rsid w:val="00CB1C9D"/>
    <w:rsid w:val="00CC39C4"/>
    <w:rsid w:val="00CC7606"/>
    <w:rsid w:val="00CD2F35"/>
    <w:rsid w:val="00CE16E7"/>
    <w:rsid w:val="00CE61DB"/>
    <w:rsid w:val="00D16632"/>
    <w:rsid w:val="00D26F3D"/>
    <w:rsid w:val="00D278CF"/>
    <w:rsid w:val="00D77626"/>
    <w:rsid w:val="00D81EE2"/>
    <w:rsid w:val="00DA4CE0"/>
    <w:rsid w:val="00DA67B8"/>
    <w:rsid w:val="00DB1085"/>
    <w:rsid w:val="00DD223C"/>
    <w:rsid w:val="00E1196C"/>
    <w:rsid w:val="00E213C7"/>
    <w:rsid w:val="00E41A31"/>
    <w:rsid w:val="00E43966"/>
    <w:rsid w:val="00E7188B"/>
    <w:rsid w:val="00EA25B8"/>
    <w:rsid w:val="00EA5F4F"/>
    <w:rsid w:val="00F006BD"/>
    <w:rsid w:val="00F17550"/>
    <w:rsid w:val="00F27120"/>
    <w:rsid w:val="00F341E0"/>
    <w:rsid w:val="00F36401"/>
    <w:rsid w:val="00F41E0B"/>
    <w:rsid w:val="00F42445"/>
    <w:rsid w:val="00F44FCC"/>
    <w:rsid w:val="00F74974"/>
    <w:rsid w:val="00F82795"/>
    <w:rsid w:val="00F829DE"/>
    <w:rsid w:val="00F84215"/>
    <w:rsid w:val="00F91CBB"/>
    <w:rsid w:val="00FC2EB7"/>
    <w:rsid w:val="00FE078B"/>
    <w:rsid w:val="00FE79EB"/>
    <w:rsid w:val="00FF1721"/>
    <w:rsid w:val="04E66B14"/>
    <w:rsid w:val="0E9A5E97"/>
    <w:rsid w:val="12A7757A"/>
    <w:rsid w:val="176D0458"/>
    <w:rsid w:val="1EB60E4D"/>
    <w:rsid w:val="26A14AB6"/>
    <w:rsid w:val="31392E19"/>
    <w:rsid w:val="37191B27"/>
    <w:rsid w:val="3B4701F7"/>
    <w:rsid w:val="4323537C"/>
    <w:rsid w:val="46C671E9"/>
    <w:rsid w:val="4FDA0002"/>
    <w:rsid w:val="56893750"/>
    <w:rsid w:val="698002D2"/>
    <w:rsid w:val="6FE576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Balloon Text"/>
    <w:basedOn w:val="1"/>
    <w:link w:val="31"/>
    <w:semiHidden/>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4"/>
    <w:basedOn w:val="1"/>
    <w:next w:val="1"/>
    <w:unhideWhenUsed/>
    <w:qFormat/>
    <w:uiPriority w:val="39"/>
    <w:pPr>
      <w:ind w:left="1260" w:leftChars="600"/>
    </w:pPr>
  </w:style>
  <w:style w:type="paragraph" w:styleId="11">
    <w:name w:val="Subtitle"/>
    <w:basedOn w:val="1"/>
    <w:next w:val="1"/>
    <w:link w:val="24"/>
    <w:qFormat/>
    <w:uiPriority w:val="11"/>
    <w:pPr>
      <w:spacing w:before="240" w:after="60" w:line="312" w:lineRule="auto"/>
      <w:jc w:val="center"/>
      <w:outlineLvl w:val="1"/>
    </w:pPr>
    <w:rPr>
      <w:b/>
      <w:bCs/>
      <w:kern w:val="28"/>
      <w:sz w:val="32"/>
      <w:szCs w:val="32"/>
    </w:rPr>
  </w:style>
  <w:style w:type="paragraph" w:styleId="12">
    <w:name w:val="toc 2"/>
    <w:basedOn w:val="1"/>
    <w:next w:val="1"/>
    <w:unhideWhenUsed/>
    <w:qFormat/>
    <w:uiPriority w:val="39"/>
    <w:pPr>
      <w:ind w:left="420" w:leftChars="200"/>
    </w:pPr>
  </w:style>
  <w:style w:type="paragraph" w:styleId="13">
    <w:name w:val="Normal (Web)"/>
    <w:basedOn w:val="1"/>
    <w:qFormat/>
    <w:uiPriority w:val="99"/>
    <w:pPr>
      <w:spacing w:before="100" w:beforeAutospacing="1" w:after="100" w:afterAutospacing="1"/>
      <w:jc w:val="left"/>
    </w:pPr>
    <w:rPr>
      <w:rFonts w:cs="Times New Roman"/>
      <w:sz w:val="24"/>
    </w:rPr>
  </w:style>
  <w:style w:type="paragraph" w:styleId="14">
    <w:name w:val="Title"/>
    <w:basedOn w:val="1"/>
    <w:next w:val="1"/>
    <w:link w:val="22"/>
    <w:qFormat/>
    <w:uiPriority w:val="10"/>
    <w:pPr>
      <w:spacing w:before="240" w:after="60"/>
      <w:jc w:val="center"/>
      <w:outlineLvl w:val="0"/>
    </w:pPr>
    <w:rPr>
      <w:rFonts w:asciiTheme="majorHAnsi" w:hAnsiTheme="majorHAnsi" w:eastAsiaTheme="majorEastAsia" w:cstheme="majorBidi"/>
      <w:b/>
      <w:bCs/>
      <w:sz w:val="32"/>
      <w:szCs w:val="32"/>
    </w:rPr>
  </w:style>
  <w:style w:type="character" w:styleId="17">
    <w:name w:val="Strong"/>
    <w:basedOn w:val="16"/>
    <w:qFormat/>
    <w:uiPriority w:val="0"/>
    <w:rPr>
      <w:b/>
      <w:bCs/>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页眉 字符"/>
    <w:basedOn w:val="16"/>
    <w:link w:val="9"/>
    <w:qFormat/>
    <w:uiPriority w:val="99"/>
    <w:rPr>
      <w:sz w:val="18"/>
      <w:szCs w:val="18"/>
    </w:rPr>
  </w:style>
  <w:style w:type="character" w:customStyle="1" w:styleId="20">
    <w:name w:val="页脚 字符"/>
    <w:basedOn w:val="16"/>
    <w:link w:val="8"/>
    <w:qFormat/>
    <w:uiPriority w:val="99"/>
    <w:rPr>
      <w:sz w:val="18"/>
      <w:szCs w:val="18"/>
    </w:rPr>
  </w:style>
  <w:style w:type="paragraph" w:styleId="21">
    <w:name w:val="List Paragraph"/>
    <w:basedOn w:val="1"/>
    <w:unhideWhenUsed/>
    <w:qFormat/>
    <w:uiPriority w:val="99"/>
    <w:pPr>
      <w:ind w:firstLine="420" w:firstLineChars="200"/>
    </w:pPr>
  </w:style>
  <w:style w:type="character" w:customStyle="1" w:styleId="22">
    <w:name w:val="标题 字符"/>
    <w:basedOn w:val="16"/>
    <w:link w:val="14"/>
    <w:qFormat/>
    <w:uiPriority w:val="10"/>
    <w:rPr>
      <w:rFonts w:asciiTheme="majorHAnsi" w:hAnsiTheme="majorHAnsi" w:eastAsiaTheme="majorEastAsia" w:cstheme="majorBidi"/>
      <w:b/>
      <w:bCs/>
      <w:sz w:val="32"/>
      <w:szCs w:val="32"/>
    </w:rPr>
  </w:style>
  <w:style w:type="character" w:customStyle="1" w:styleId="23">
    <w:name w:val="标题 2 字符"/>
    <w:basedOn w:val="16"/>
    <w:link w:val="3"/>
    <w:qFormat/>
    <w:uiPriority w:val="9"/>
    <w:rPr>
      <w:rFonts w:asciiTheme="majorHAnsi" w:hAnsiTheme="majorHAnsi" w:eastAsiaTheme="majorEastAsia" w:cstheme="majorBidi"/>
      <w:b/>
      <w:bCs/>
      <w:sz w:val="32"/>
      <w:szCs w:val="32"/>
    </w:rPr>
  </w:style>
  <w:style w:type="character" w:customStyle="1" w:styleId="24">
    <w:name w:val="副标题 字符"/>
    <w:basedOn w:val="16"/>
    <w:link w:val="11"/>
    <w:qFormat/>
    <w:uiPriority w:val="11"/>
    <w:rPr>
      <w:b/>
      <w:bCs/>
      <w:kern w:val="28"/>
      <w:sz w:val="32"/>
      <w:szCs w:val="32"/>
    </w:rPr>
  </w:style>
  <w:style w:type="character" w:customStyle="1" w:styleId="25">
    <w:name w:val="标题 3 字符"/>
    <w:basedOn w:val="16"/>
    <w:link w:val="4"/>
    <w:qFormat/>
    <w:uiPriority w:val="9"/>
    <w:rPr>
      <w:b/>
      <w:bCs/>
      <w:sz w:val="32"/>
      <w:szCs w:val="32"/>
    </w:rPr>
  </w:style>
  <w:style w:type="character" w:styleId="26">
    <w:name w:val="Placeholder Text"/>
    <w:basedOn w:val="16"/>
    <w:semiHidden/>
    <w:qFormat/>
    <w:uiPriority w:val="99"/>
    <w:rPr>
      <w:color w:val="808080"/>
    </w:rPr>
  </w:style>
  <w:style w:type="character" w:customStyle="1" w:styleId="27">
    <w:name w:val="标题 1 字符"/>
    <w:basedOn w:val="16"/>
    <w:link w:val="2"/>
    <w:qFormat/>
    <w:uiPriority w:val="9"/>
    <w:rPr>
      <w:b/>
      <w:bCs/>
      <w:kern w:val="44"/>
      <w:sz w:val="44"/>
      <w:szCs w:val="44"/>
    </w:rPr>
  </w:style>
  <w:style w:type="paragraph" w:customStyle="1" w:styleId="28">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9">
    <w:name w:val="标题 4 字符"/>
    <w:basedOn w:val="16"/>
    <w:link w:val="5"/>
    <w:qFormat/>
    <w:uiPriority w:val="9"/>
    <w:rPr>
      <w:rFonts w:asciiTheme="majorHAnsi" w:hAnsiTheme="majorHAnsi" w:eastAsiaTheme="majorEastAsia" w:cstheme="majorBidi"/>
      <w:b/>
      <w:bCs/>
      <w:sz w:val="28"/>
      <w:szCs w:val="28"/>
    </w:rPr>
  </w:style>
  <w:style w:type="paragraph" w:customStyle="1" w:styleId="30">
    <w:name w:val="正文A"/>
    <w:basedOn w:val="1"/>
    <w:qFormat/>
    <w:uiPriority w:val="4"/>
    <w:pPr>
      <w:widowControl/>
      <w:spacing w:line="580" w:lineRule="exact"/>
      <w:ind w:firstLine="640"/>
      <w:jc w:val="left"/>
    </w:pPr>
    <w:rPr>
      <w:rFonts w:ascii="仿宋_GB2312" w:hAnsi="仿宋_GB2312" w:eastAsia="仿宋_GB2312" w:cs="宋体"/>
      <w:color w:val="000000"/>
      <w:kern w:val="0"/>
      <w:sz w:val="32"/>
      <w:szCs w:val="32"/>
    </w:rPr>
  </w:style>
  <w:style w:type="character" w:customStyle="1" w:styleId="31">
    <w:name w:val="批注框文本 字符"/>
    <w:basedOn w:val="16"/>
    <w:link w:val="7"/>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80726-31F7-4299-8404-E8BE21D1A10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5814</Words>
  <Characters>6411</Characters>
  <Lines>48</Lines>
  <Paragraphs>13</Paragraphs>
  <TotalTime>0</TotalTime>
  <ScaleCrop>false</ScaleCrop>
  <LinksUpToDate>false</LinksUpToDate>
  <CharactersWithSpaces>6438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2022-04-28T09:12:00Z</dcterms:created>
  <dc:creator>jc</dc:creator>
  <cp:lastModifiedBy>A.X</cp:lastModifiedBy>
  <dcterms:modified xsi:type="dcterms:W3CDTF">2022-05-25T05:12:36Z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78804069798F479B8D4143922D9BAFC1</vt:lpwstr>
  </property>
</Properties>
</file>